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EXELIXIS,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Hannah E. Dunn</w:t>
              <w:br/>
              <w:t>Farallon Capital Management, L.L.C., One Maritime Plaza, Suite 2100</w:t>
              <w:br/>
              <w:t>San Francisco, CA, 94111</w:t>
              <w:br/>
              <w:t>(415) 421-2132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16"/>
        <w:gridCol w:w="8089"/>
      </w:tblGrid>
      <w:tr>
        <w:trPr/>
        <w:tc>
          <w:tcPr>
            <w:tcW w:w="2116" w:type="dxa"/>
            <w:tcBorders/>
            <w:vAlign w:val="center"/>
          </w:tcPr>
          <w:p>
            <w:pPr>
              <w:pStyle w:val="TableContents"/>
              <w:bidi w:val="0"/>
              <w:spacing w:before="0" w:after="283"/>
              <w:jc w:val="left"/>
              <w:rPr/>
            </w:pPr>
            <w:r>
              <w:rPr/>
              <w:t>1</w:t>
            </w:r>
          </w:p>
        </w:tc>
        <w:tc>
          <w:tcPr>
            <w:tcW w:w="808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Partners, L.P.</w:t>
            </w:r>
          </w:p>
        </w:tc>
      </w:tr>
      <w:tr>
        <w:trPr/>
        <w:tc>
          <w:tcPr>
            <w:tcW w:w="2116" w:type="dxa"/>
            <w:tcBorders/>
            <w:vAlign w:val="center"/>
          </w:tcPr>
          <w:p>
            <w:pPr>
              <w:pStyle w:val="TableContents"/>
              <w:bidi w:val="0"/>
              <w:spacing w:before="0" w:after="283"/>
              <w:jc w:val="left"/>
              <w:rPr/>
            </w:pPr>
            <w:r>
              <w:rPr/>
              <w:t>2</w:t>
            </w:r>
          </w:p>
        </w:tc>
        <w:tc>
          <w:tcPr>
            <w:tcW w:w="808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16" w:type="dxa"/>
            <w:tcBorders/>
            <w:vAlign w:val="center"/>
          </w:tcPr>
          <w:p>
            <w:pPr>
              <w:pStyle w:val="TableContents"/>
              <w:bidi w:val="0"/>
              <w:spacing w:before="0" w:after="283"/>
              <w:jc w:val="left"/>
              <w:rPr/>
            </w:pPr>
            <w:r>
              <w:rPr/>
              <w:t>3</w:t>
            </w:r>
          </w:p>
        </w:tc>
        <w:tc>
          <w:tcPr>
            <w:tcW w:w="8089" w:type="dxa"/>
            <w:tcBorders/>
            <w:vAlign w:val="center"/>
          </w:tcPr>
          <w:p>
            <w:pPr>
              <w:pStyle w:val="TableContents"/>
              <w:bidi w:val="0"/>
              <w:spacing w:before="0" w:after="283"/>
              <w:jc w:val="left"/>
              <w:rPr/>
            </w:pPr>
            <w:r>
              <w:rPr/>
              <w:t>SEC use only</w:t>
            </w:r>
          </w:p>
        </w:tc>
      </w:tr>
      <w:tr>
        <w:trPr/>
        <w:tc>
          <w:tcPr>
            <w:tcW w:w="2116" w:type="dxa"/>
            <w:tcBorders/>
            <w:vAlign w:val="center"/>
          </w:tcPr>
          <w:p>
            <w:pPr>
              <w:pStyle w:val="TableContents"/>
              <w:bidi w:val="0"/>
              <w:spacing w:before="0" w:after="283"/>
              <w:jc w:val="left"/>
              <w:rPr/>
            </w:pPr>
            <w:r>
              <w:rPr/>
              <w:t>4</w:t>
            </w:r>
          </w:p>
        </w:tc>
        <w:tc>
          <w:tcPr>
            <w:tcW w:w="808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16" w:type="dxa"/>
            <w:tcBorders/>
            <w:vAlign w:val="center"/>
          </w:tcPr>
          <w:p>
            <w:pPr>
              <w:pStyle w:val="TableContents"/>
              <w:bidi w:val="0"/>
              <w:spacing w:before="0" w:after="283"/>
              <w:jc w:val="left"/>
              <w:rPr/>
            </w:pPr>
            <w:r>
              <w:rPr/>
              <w:t>5</w:t>
            </w:r>
          </w:p>
        </w:tc>
        <w:tc>
          <w:tcPr>
            <w:tcW w:w="808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6</w:t>
            </w:r>
          </w:p>
        </w:tc>
        <w:tc>
          <w:tcPr>
            <w:tcW w:w="808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1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9"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pPr>
            <w:r>
              <w:rPr/>
              <w:t>11</w:t>
            </w:r>
          </w:p>
        </w:tc>
        <w:tc>
          <w:tcPr>
            <w:tcW w:w="808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16" w:type="dxa"/>
            <w:tcBorders/>
            <w:vAlign w:val="center"/>
          </w:tcPr>
          <w:p>
            <w:pPr>
              <w:pStyle w:val="TableContents"/>
              <w:bidi w:val="0"/>
              <w:spacing w:before="0" w:after="283"/>
              <w:jc w:val="left"/>
              <w:rPr/>
            </w:pPr>
            <w:r>
              <w:rPr/>
              <w:t>12</w:t>
            </w:r>
          </w:p>
        </w:tc>
        <w:tc>
          <w:tcPr>
            <w:tcW w:w="808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13</w:t>
            </w:r>
          </w:p>
        </w:tc>
        <w:tc>
          <w:tcPr>
            <w:tcW w:w="808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16" w:type="dxa"/>
            <w:tcBorders/>
            <w:vAlign w:val="center"/>
          </w:tcPr>
          <w:p>
            <w:pPr>
              <w:pStyle w:val="TableContents"/>
              <w:bidi w:val="0"/>
              <w:spacing w:before="0" w:after="283"/>
              <w:jc w:val="left"/>
              <w:rPr/>
            </w:pPr>
            <w:r>
              <w:rPr/>
              <w:t>14</w:t>
            </w:r>
          </w:p>
        </w:tc>
        <w:tc>
          <w:tcPr>
            <w:tcW w:w="808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16"/>
        <w:gridCol w:w="8089"/>
      </w:tblGrid>
      <w:tr>
        <w:trPr/>
        <w:tc>
          <w:tcPr>
            <w:tcW w:w="2116" w:type="dxa"/>
            <w:tcBorders/>
            <w:vAlign w:val="center"/>
          </w:tcPr>
          <w:p>
            <w:pPr>
              <w:pStyle w:val="TableContents"/>
              <w:bidi w:val="0"/>
              <w:spacing w:before="0" w:after="283"/>
              <w:jc w:val="left"/>
              <w:rPr/>
            </w:pPr>
            <w:r>
              <w:rPr/>
              <w:t>1</w:t>
            </w:r>
          </w:p>
        </w:tc>
        <w:tc>
          <w:tcPr>
            <w:tcW w:w="808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Institutional Partners, L.P.</w:t>
            </w:r>
          </w:p>
        </w:tc>
      </w:tr>
      <w:tr>
        <w:trPr/>
        <w:tc>
          <w:tcPr>
            <w:tcW w:w="2116" w:type="dxa"/>
            <w:tcBorders/>
            <w:vAlign w:val="center"/>
          </w:tcPr>
          <w:p>
            <w:pPr>
              <w:pStyle w:val="TableContents"/>
              <w:bidi w:val="0"/>
              <w:spacing w:before="0" w:after="283"/>
              <w:jc w:val="left"/>
              <w:rPr/>
            </w:pPr>
            <w:r>
              <w:rPr/>
              <w:t>2</w:t>
            </w:r>
          </w:p>
        </w:tc>
        <w:tc>
          <w:tcPr>
            <w:tcW w:w="808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16" w:type="dxa"/>
            <w:tcBorders/>
            <w:vAlign w:val="center"/>
          </w:tcPr>
          <w:p>
            <w:pPr>
              <w:pStyle w:val="TableContents"/>
              <w:bidi w:val="0"/>
              <w:spacing w:before="0" w:after="283"/>
              <w:jc w:val="left"/>
              <w:rPr/>
            </w:pPr>
            <w:r>
              <w:rPr/>
              <w:t>3</w:t>
            </w:r>
          </w:p>
        </w:tc>
        <w:tc>
          <w:tcPr>
            <w:tcW w:w="8089" w:type="dxa"/>
            <w:tcBorders/>
            <w:vAlign w:val="center"/>
          </w:tcPr>
          <w:p>
            <w:pPr>
              <w:pStyle w:val="TableContents"/>
              <w:bidi w:val="0"/>
              <w:spacing w:before="0" w:after="283"/>
              <w:jc w:val="left"/>
              <w:rPr/>
            </w:pPr>
            <w:r>
              <w:rPr/>
              <w:t>SEC use only</w:t>
            </w:r>
          </w:p>
        </w:tc>
      </w:tr>
      <w:tr>
        <w:trPr/>
        <w:tc>
          <w:tcPr>
            <w:tcW w:w="2116" w:type="dxa"/>
            <w:tcBorders/>
            <w:vAlign w:val="center"/>
          </w:tcPr>
          <w:p>
            <w:pPr>
              <w:pStyle w:val="TableContents"/>
              <w:bidi w:val="0"/>
              <w:spacing w:before="0" w:after="283"/>
              <w:jc w:val="left"/>
              <w:rPr/>
            </w:pPr>
            <w:r>
              <w:rPr/>
              <w:t>4</w:t>
            </w:r>
          </w:p>
        </w:tc>
        <w:tc>
          <w:tcPr>
            <w:tcW w:w="808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16" w:type="dxa"/>
            <w:tcBorders/>
            <w:vAlign w:val="center"/>
          </w:tcPr>
          <w:p>
            <w:pPr>
              <w:pStyle w:val="TableContents"/>
              <w:bidi w:val="0"/>
              <w:spacing w:before="0" w:after="283"/>
              <w:jc w:val="left"/>
              <w:rPr/>
            </w:pPr>
            <w:r>
              <w:rPr/>
              <w:t>5</w:t>
            </w:r>
          </w:p>
        </w:tc>
        <w:tc>
          <w:tcPr>
            <w:tcW w:w="808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6</w:t>
            </w:r>
          </w:p>
        </w:tc>
        <w:tc>
          <w:tcPr>
            <w:tcW w:w="808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1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9"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pPr>
            <w:r>
              <w:rPr/>
              <w:t>11</w:t>
            </w:r>
          </w:p>
        </w:tc>
        <w:tc>
          <w:tcPr>
            <w:tcW w:w="808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16" w:type="dxa"/>
            <w:tcBorders/>
            <w:vAlign w:val="center"/>
          </w:tcPr>
          <w:p>
            <w:pPr>
              <w:pStyle w:val="TableContents"/>
              <w:bidi w:val="0"/>
              <w:spacing w:before="0" w:after="283"/>
              <w:jc w:val="left"/>
              <w:rPr/>
            </w:pPr>
            <w:r>
              <w:rPr/>
              <w:t>12</w:t>
            </w:r>
          </w:p>
        </w:tc>
        <w:tc>
          <w:tcPr>
            <w:tcW w:w="808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13</w:t>
            </w:r>
          </w:p>
        </w:tc>
        <w:tc>
          <w:tcPr>
            <w:tcW w:w="808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16" w:type="dxa"/>
            <w:tcBorders/>
            <w:vAlign w:val="center"/>
          </w:tcPr>
          <w:p>
            <w:pPr>
              <w:pStyle w:val="TableContents"/>
              <w:bidi w:val="0"/>
              <w:spacing w:before="0" w:after="283"/>
              <w:jc w:val="left"/>
              <w:rPr/>
            </w:pPr>
            <w:r>
              <w:rPr/>
              <w:t>14</w:t>
            </w:r>
          </w:p>
        </w:tc>
        <w:tc>
          <w:tcPr>
            <w:tcW w:w="808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16"/>
        <w:gridCol w:w="8089"/>
      </w:tblGrid>
      <w:tr>
        <w:trPr/>
        <w:tc>
          <w:tcPr>
            <w:tcW w:w="2116" w:type="dxa"/>
            <w:tcBorders/>
            <w:vAlign w:val="center"/>
          </w:tcPr>
          <w:p>
            <w:pPr>
              <w:pStyle w:val="TableContents"/>
              <w:bidi w:val="0"/>
              <w:spacing w:before="0" w:after="283"/>
              <w:jc w:val="left"/>
              <w:rPr/>
            </w:pPr>
            <w:r>
              <w:rPr/>
              <w:t>1</w:t>
            </w:r>
          </w:p>
        </w:tc>
        <w:tc>
          <w:tcPr>
            <w:tcW w:w="808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Institutional Partners II, L.P.</w:t>
            </w:r>
          </w:p>
        </w:tc>
      </w:tr>
      <w:tr>
        <w:trPr/>
        <w:tc>
          <w:tcPr>
            <w:tcW w:w="2116" w:type="dxa"/>
            <w:tcBorders/>
            <w:vAlign w:val="center"/>
          </w:tcPr>
          <w:p>
            <w:pPr>
              <w:pStyle w:val="TableContents"/>
              <w:bidi w:val="0"/>
              <w:spacing w:before="0" w:after="283"/>
              <w:jc w:val="left"/>
              <w:rPr/>
            </w:pPr>
            <w:r>
              <w:rPr/>
              <w:t>2</w:t>
            </w:r>
          </w:p>
        </w:tc>
        <w:tc>
          <w:tcPr>
            <w:tcW w:w="808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16" w:type="dxa"/>
            <w:tcBorders/>
            <w:vAlign w:val="center"/>
          </w:tcPr>
          <w:p>
            <w:pPr>
              <w:pStyle w:val="TableContents"/>
              <w:bidi w:val="0"/>
              <w:spacing w:before="0" w:after="283"/>
              <w:jc w:val="left"/>
              <w:rPr/>
            </w:pPr>
            <w:r>
              <w:rPr/>
              <w:t>3</w:t>
            </w:r>
          </w:p>
        </w:tc>
        <w:tc>
          <w:tcPr>
            <w:tcW w:w="8089" w:type="dxa"/>
            <w:tcBorders/>
            <w:vAlign w:val="center"/>
          </w:tcPr>
          <w:p>
            <w:pPr>
              <w:pStyle w:val="TableContents"/>
              <w:bidi w:val="0"/>
              <w:spacing w:before="0" w:after="283"/>
              <w:jc w:val="left"/>
              <w:rPr/>
            </w:pPr>
            <w:r>
              <w:rPr/>
              <w:t>SEC use only</w:t>
            </w:r>
          </w:p>
        </w:tc>
      </w:tr>
      <w:tr>
        <w:trPr/>
        <w:tc>
          <w:tcPr>
            <w:tcW w:w="2116" w:type="dxa"/>
            <w:tcBorders/>
            <w:vAlign w:val="center"/>
          </w:tcPr>
          <w:p>
            <w:pPr>
              <w:pStyle w:val="TableContents"/>
              <w:bidi w:val="0"/>
              <w:spacing w:before="0" w:after="283"/>
              <w:jc w:val="left"/>
              <w:rPr/>
            </w:pPr>
            <w:r>
              <w:rPr/>
              <w:t>4</w:t>
            </w:r>
          </w:p>
        </w:tc>
        <w:tc>
          <w:tcPr>
            <w:tcW w:w="808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16" w:type="dxa"/>
            <w:tcBorders/>
            <w:vAlign w:val="center"/>
          </w:tcPr>
          <w:p>
            <w:pPr>
              <w:pStyle w:val="TableContents"/>
              <w:bidi w:val="0"/>
              <w:spacing w:before="0" w:after="283"/>
              <w:jc w:val="left"/>
              <w:rPr/>
            </w:pPr>
            <w:r>
              <w:rPr/>
              <w:t>5</w:t>
            </w:r>
          </w:p>
        </w:tc>
        <w:tc>
          <w:tcPr>
            <w:tcW w:w="808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6</w:t>
            </w:r>
          </w:p>
        </w:tc>
        <w:tc>
          <w:tcPr>
            <w:tcW w:w="808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1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9"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pPr>
            <w:r>
              <w:rPr/>
              <w:t>11</w:t>
            </w:r>
          </w:p>
        </w:tc>
        <w:tc>
          <w:tcPr>
            <w:tcW w:w="808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16" w:type="dxa"/>
            <w:tcBorders/>
            <w:vAlign w:val="center"/>
          </w:tcPr>
          <w:p>
            <w:pPr>
              <w:pStyle w:val="TableContents"/>
              <w:bidi w:val="0"/>
              <w:spacing w:before="0" w:after="283"/>
              <w:jc w:val="left"/>
              <w:rPr/>
            </w:pPr>
            <w:r>
              <w:rPr/>
              <w:t>12</w:t>
            </w:r>
          </w:p>
        </w:tc>
        <w:tc>
          <w:tcPr>
            <w:tcW w:w="808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13</w:t>
            </w:r>
          </w:p>
        </w:tc>
        <w:tc>
          <w:tcPr>
            <w:tcW w:w="808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16" w:type="dxa"/>
            <w:tcBorders/>
            <w:vAlign w:val="center"/>
          </w:tcPr>
          <w:p>
            <w:pPr>
              <w:pStyle w:val="TableContents"/>
              <w:bidi w:val="0"/>
              <w:spacing w:before="0" w:after="283"/>
              <w:jc w:val="left"/>
              <w:rPr/>
            </w:pPr>
            <w:r>
              <w:rPr/>
              <w:t>14</w:t>
            </w:r>
          </w:p>
        </w:tc>
        <w:tc>
          <w:tcPr>
            <w:tcW w:w="808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Institutional Partners III,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Four Crossings Institutional Partners V,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Offshore Investors II, L.P.</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(AM) Investors,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Capital F5 Master I, L.P.</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Healthcare Partners Master, L.P.</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Partners,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Institutional (GP) V,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F5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Farallon Healthcare Partners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Dapice Joshua J.</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Dreyfuss, Philip 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Dunn Hannah E.</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Gehani, Varun 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Giauque, Nicolas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Husen, Avner A.</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Kim, David 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Linn, Michael 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Luo Patrick (Cheng)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Roberts, Jr., Thomas 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Saito Edric 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Short Daniel 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Spokes, Andrew J. M.</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Warren, John 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Wehrly, Mark 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13,989,010.00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13,989,010.00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13,989,010.00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22" w:name="item1to7"/>
      <w:bookmarkStart w:id="123" w:name="item1to7"/>
      <w:bookmarkEnd w:id="123"/>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 (the "Shares")</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EXELIXIS,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1851 Harbor Bay Parkway, Alameda, CALIFORNIA , 94502.</w:t>
            </w:r>
          </w:p>
        </w:tc>
      </w:tr>
      <w:tr>
        <w:trPr/>
        <w:tc>
          <w:tcPr>
            <w:tcW w:w="1173"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Identity and Background</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This Amendment No. 8 to Schedule 13D (this "Amendment") hereby amends and restates Item 2(a) in its entirety, to read as follows: "This Schedule 13D is filed by the entity and persons listed below, all of whom together are referred to herein as the "Reporting Persons." (i) Farallon Capital Management, L.L.C., a Delaware limited liability company (the "Investment Manager"), which is the investment manager of certain investment vehicles and partnerships, including the Farallon Funds (as defined in Item 5), with respect to the Shares held by the Farallon Funds; and (ii) The following persons, each of whom is a managing member or senior managing member, as the case may be, of the Investment Manager,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This Amendment hereby amends and restates Item 2(b) in its entirety, to read as follows: "The address of the principal business office of each of the Reporting Persons is c/o Farallon Capital Management, L.L.C., One Maritime Plaza, Suite 2100, San Francisco, California 94111."</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This Amendment hereby amends and restates Item 2(c) in its entirety, to read as follows: "The principal business of the Investment Manager is to act as the investment manager of various investment vehicles and partnerships, including the Farallon Funds. The principal occupation of each Farallon Individual Reporting Person is serving as a managing member or senior managing member, as the case may be, of each of the Investment Manager and Farallon Partners, L.L.C., which is the general partner of certain investment partnerships advised by the Investment Manager, and as a manager or senior manager, as the case may be, of certain other general partners of investment partnerships advised by the Investment Manager."</w:t>
            </w:r>
          </w:p>
        </w:tc>
      </w:tr>
      <w:tr>
        <w:trPr/>
        <w:tc>
          <w:tcPr>
            <w:tcW w:w="1173" w:type="dxa"/>
            <w:tcBorders/>
            <w:vAlign w:val="center"/>
          </w:tcPr>
          <w:p>
            <w:pPr>
              <w:pStyle w:val="TableContents"/>
              <w:bidi w:val="0"/>
              <w:spacing w:before="0" w:after="283"/>
              <w:jc w:val="left"/>
              <w:rPr/>
            </w:pPr>
            <w:r>
              <w:rPr/>
              <w:t>(f)</w:t>
            </w:r>
          </w:p>
        </w:tc>
        <w:tc>
          <w:tcPr>
            <w:tcW w:w="9032" w:type="dxa"/>
            <w:tcBorders/>
            <w:vAlign w:val="center"/>
          </w:tcPr>
          <w:p>
            <w:pPr>
              <w:pStyle w:val="TableContents"/>
              <w:bidi w:val="0"/>
              <w:spacing w:before="0" w:after="0"/>
              <w:jc w:val="left"/>
              <w:rPr/>
            </w:pPr>
            <w:r>
              <w:rPr/>
              <w:t>This Amendment hereby amends and restates Item 2(f) in its entirety, to read as follows: "The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This Amendment hereby amends and restates Item 3 in its entirety, to read as follows: "The approximate net investment cost for the Shares held by the Farallon Funds is $308,124,978."</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This Amendment hereby amends and restates Item 5(a) in its entirety, to read as follows: "The information set forth in Rows 7 through 13 of the cover page hereto for each Reporting Person is incorporated herein by reference for each such Reporting Person. The percentage amount set forth in Row 13 for all cover pages filed herewith is calculated based upon 247,781,692 Shares outstanding as of July 27, 2026, as reported by the Issuer in its Form 10-Q filed with the Securities and Exchange Commission on August 5, 2026. The Shares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Farallon Capital Offshore Investors II, L.P., a Cayman Islands exempted limited partnership ("FCOI II"); (vi) Farallon Capital (AM) Investors, L.P., a Delaware limited partnership ("FCAMI"); (vii) Farallon Capital F5 Master I, L.P., a Cayman Islands exempted limited partnership ("F5MI"); and (viii) Farallon Healthcare Partners Master, L.P., a Cayman Islands exempted limited partnership ("FHPM"). FCP, FCIP, FCIP II, FCIP III, FCOI II, FCAMI, F5MI and FHPM are together referred to herein as the "Farallon Funds."</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This Amendment hereby amends and restates Item 5(b) in its entirety, to read as follows: "The information set forth in Rows 7 through 13 of the cover page hereto for each Reporting Person is incorporated herein by reference for each such Reporting Person."</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This Amendment hereby amends and restates Item 5(c) in its entirety, to read as follows: "The dates, number of Shares involved and the price per Share (excluding commissions) for all transactions in the Shares by the Farallon Funds in the past sixty days are set forth in Exhibit 1.C attached hereto and such information is incorporated herein by reference. All of such transactions were open-market transactions."</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This Amendment hereby amends and restates Item 5(d) in its entirety, to read as follows: "The Farallon Funds have the right to receive dividends from, and the proceeds from the sale of, the securities of the Issuer beneficially owned by the Reporting Persons."</w:t>
            </w:r>
          </w:p>
        </w:tc>
      </w:tr>
      <w:tr>
        <w:trPr/>
        <w:tc>
          <w:tcPr>
            <w:tcW w:w="1173"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Material to be Filed as Exhibits.</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This Amendment hereby amends and supplements Item 7 by adding the following thereto: "There is filed herewith as Exhibit 1.C the sixty-day trading history referenced in Item 5(c). There is filed herewith as Exhibit 8 a written agreement relating to the filing of joint acquisition statements as required by Rule 13d-1(k) under the Securities Exchange Act of 1934, as amended."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signatureInfo"/>
      <w:bookmarkStart w:id="125" w:name="signatureInfo"/>
      <w:bookmarkEnd w:id="1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Each of Farallon Partners, L.L.C., Farallon Institutional (GP) V, L.L.C., Farallon F5 (GP), L.L.C, and Farallon Healthcare Partners (GP), L.L.C. has executed this statement in Mill Valley, California, on behalf of itself and each fund for which it is the general partner.</w:t>
            </w:r>
          </w:p>
        </w:tc>
      </w:tr>
    </w:tbl>
    <w:p>
      <w:pPr>
        <w:pStyle w:val="TextBody"/>
        <w:bidi w:val="0"/>
        <w:spacing w:before="0" w:after="160"/>
        <w:jc w:val="right"/>
        <w:rPr/>
      </w:pPr>
      <w:bookmarkStart w:id="126" w:name="tradinghistory.htm"/>
      <w:bookmarkStart w:id="127" w:name="kstradinghistory"/>
      <w:bookmarkEnd w:id="126"/>
      <w:bookmarkEnd w:id="127"/>
      <w:r>
        <w:rPr>
          <w:rFonts w:ascii="Times New Roman" w:hAnsi="Times New Roman"/>
          <w:sz w:val="20"/>
        </w:rPr>
        <w:t>EXHIBIT 1.C</w:t>
      </w:r>
      <w:r>
        <w:rPr/>
        <w:t xml:space="preserve"> </w:t>
      </w:r>
      <w:r>
        <w:br w:type="page"/>
      </w:r>
    </w:p>
    <w:p>
      <w:pPr>
        <w:pStyle w:val="TextBody"/>
        <w:bidi w:val="0"/>
        <w:spacing w:before="0" w:after="160"/>
        <w:jc w:val="left"/>
        <w:rPr/>
      </w:pPr>
      <w:r>
        <w:rPr/>
        <w:t xml:space="preserve">  </w:t>
      </w:r>
    </w:p>
    <w:p>
      <w:pPr>
        <w:pStyle w:val="TextBody"/>
        <w:bidi w:val="0"/>
        <w:spacing w:before="0" w:after="160"/>
        <w:jc w:val="both"/>
        <w:rPr/>
      </w:pPr>
      <w:r>
        <w:rPr>
          <w:rFonts w:ascii="Times New Roman" w:hAnsi="Times New Roman"/>
          <w:sz w:val="20"/>
        </w:rPr>
        <w:t>This Exhibit 1.C sets forth information with respect to each purchase or sale of Shares effectuated by the Investment Manager on behalf on the Farallon Funds in the past sixty days. Unless otherwise indicated, all transactions were effectuated in the open market through a broker.</w:t>
      </w:r>
      <w:r>
        <w:rPr/>
        <w:t xml:space="preserve"> </w:t>
      </w:r>
    </w:p>
    <w:p>
      <w:pPr>
        <w:pStyle w:val="TextBody"/>
        <w:bidi w:val="0"/>
        <w:spacing w:before="0" w:after="160"/>
        <w:jc w:val="left"/>
        <w:rPr/>
      </w:pPr>
      <w:r>
        <w:rPr/>
        <w:t xml:space="preserve">  </w:t>
      </w:r>
    </w:p>
    <w:tbl>
      <w:tblPr>
        <w:tblW w:w="9633" w:type="dxa"/>
        <w:jc w:val="left"/>
        <w:tblInd w:w="-10" w:type="dxa"/>
        <w:tblLayout w:type="fixed"/>
        <w:tblCellMar>
          <w:top w:w="28" w:type="dxa"/>
          <w:left w:w="75" w:type="dxa"/>
          <w:bottom w:w="28" w:type="dxa"/>
          <w:right w:w="108" w:type="dxa"/>
        </w:tblCellMar>
      </w:tblPr>
      <w:tblGrid>
        <w:gridCol w:w="1726"/>
        <w:gridCol w:w="5296"/>
        <w:gridCol w:w="2611"/>
      </w:tblGrid>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TRADE DATE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NO. OF SHARES PURCHASED (P) OR SOLD (S)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PRICE PER SHARE ($)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8/10/2026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74,000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$52.96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8/7/2026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27,000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$53.21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8/7/2026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125,000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$53.83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8/6/2026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50,000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$52.73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8/6/2026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2,374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$55.01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8/6/2026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38,626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$55.02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7/17/2026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59,000 (S)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$55.77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7/16/2026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75,000 (S)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$55.63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7/13/2026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106,000 (S)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$55.77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7/13/2026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265,000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$55.82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7/9/2026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130,000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$56.92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7/8/2026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49,000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$56.07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6/25/2026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189,000 (S)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$53.30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6/25/2026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227,000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$53.35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6/22/2026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39,000 (S)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$51.34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6/22/2026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117,000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$51.37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6/18/2026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39,000 (S)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$51.92 </w:t>
            </w:r>
          </w:p>
        </w:tc>
      </w:tr>
      <w:tr>
        <w:trPr/>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6/18/2026 </w:t>
            </w:r>
          </w:p>
        </w:tc>
        <w:tc>
          <w:tcPr>
            <w:tcW w:w="5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116,000 (P) </w:t>
            </w:r>
          </w:p>
        </w:tc>
        <w:tc>
          <w:tcPr>
            <w:tcW w:w="26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60"/>
              <w:jc w:val="left"/>
              <w:rPr/>
            </w:pPr>
            <w:r>
              <w:rPr/>
              <w:t xml:space="preserve">$51.94 </w:t>
            </w:r>
          </w:p>
        </w:tc>
      </w:tr>
    </w:tbl>
    <w:p>
      <w:pPr>
        <w:pStyle w:val="TextBody"/>
        <w:bidi w:val="0"/>
        <w:spacing w:before="0" w:after="160"/>
        <w:jc w:val="left"/>
        <w:rPr/>
      </w:pPr>
      <w:r>
        <w:rPr/>
        <w:t xml:space="preserve">  </w:t>
      </w:r>
    </w:p>
    <w:p>
      <w:pPr>
        <w:pStyle w:val="TextBody"/>
        <w:bidi w:val="0"/>
        <w:spacing w:before="0" w:after="160"/>
        <w:jc w:val="left"/>
        <w:rPr/>
      </w:pPr>
      <w:r>
        <w:rPr/>
        <w:t xml:space="preserve">  </w:t>
      </w:r>
    </w:p>
    <w:p>
      <w:pPr>
        <w:pStyle w:val="TextBody"/>
        <w:bidi w:val="0"/>
        <w:spacing w:before="0" w:after="0"/>
        <w:jc w:val="right"/>
        <w:rPr/>
      </w:pPr>
      <w:bookmarkStart w:id="128" w:name="jas.htm"/>
      <w:bookmarkStart w:id="129" w:name="ksjas"/>
      <w:bookmarkEnd w:id="128"/>
      <w:bookmarkEnd w:id="129"/>
      <w:r>
        <w:rPr>
          <w:sz w:val="20"/>
        </w:rPr>
        <w:t>EXHIBIT 8</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sz w:val="20"/>
        </w:rPr>
        <w:t>JOINT ACQUISITION STATEMENT</w:t>
      </w:r>
      <w:r>
        <w:rPr/>
        <w:t xml:space="preserve"> </w:t>
      </w:r>
    </w:p>
    <w:p>
      <w:pPr>
        <w:pStyle w:val="TextBody"/>
        <w:bidi w:val="0"/>
        <w:spacing w:before="0" w:after="0"/>
        <w:jc w:val="center"/>
        <w:rPr/>
      </w:pPr>
      <w:r>
        <w:rPr>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sz w:val="20"/>
        </w:rPr>
      </w:pPr>
      <w:r>
        <w:rPr>
          <w:sz w:val="20"/>
        </w:rPr>
        <w:t>Dated: August 14, 2026</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66"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pPr>
            <w:r>
              <w:rPr>
                <w:color w:val="000000"/>
                <w:sz w:val="20"/>
              </w:rPr>
              <w:t>/s/ Hannah E. Dunn</w:t>
            </w:r>
            <w:r>
              <w:rPr/>
              <w:t xml:space="preserve"> </w:t>
            </w:r>
          </w:p>
        </w:tc>
      </w:tr>
      <w:tr>
        <w:trPr/>
        <w:tc>
          <w:tcPr>
            <w:tcW w:w="10205" w:type="dxa"/>
            <w:tcBorders/>
            <w:tcMar>
              <w:bottom w:w="0" w:type="dxa"/>
            </w:tcMar>
            <w:vAlign w:val="center"/>
          </w:tcPr>
          <w:p>
            <w:pPr>
              <w:pStyle w:val="TableContents"/>
              <w:bidi w:val="0"/>
              <w:spacing w:before="0" w:after="0"/>
              <w:jc w:val="both"/>
              <w:rPr/>
            </w:pPr>
            <w:r>
              <w:rPr>
                <w:color w:val="000000"/>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color w:val="000000"/>
                <w:sz w:val="20"/>
              </w:rPr>
              <w:t>By Hannah E. Dunn, Managing Member</w:t>
            </w:r>
            <w:r>
              <w:rPr/>
              <w:t xml:space="preserve"> </w:t>
            </w:r>
          </w:p>
          <w:p>
            <w:pPr>
              <w:pStyle w:val="TableContents"/>
              <w:bidi w:val="0"/>
              <w:spacing w:before="0" w:after="0"/>
              <w:jc w:val="both"/>
              <w:rPr>
                <w:color w:val="000000"/>
              </w:rPr>
            </w:pPr>
            <w:r>
              <w:rPr>
                <w:color w:val="000000"/>
              </w:rPr>
              <w:t xml:space="preserve">  </w:t>
            </w:r>
          </w:p>
        </w:tc>
      </w:tr>
      <w:tr>
        <w:trPr/>
        <w:tc>
          <w:tcPr>
            <w:tcW w:w="10205" w:type="dxa"/>
            <w:tcBorders>
              <w:bottom w:val="double" w:sz="6" w:space="0" w:color="000000"/>
            </w:tcBorders>
            <w:vAlign w:val="center"/>
          </w:tcPr>
          <w:p>
            <w:pPr>
              <w:pStyle w:val="TableContents"/>
              <w:bidi w:val="0"/>
              <w:spacing w:before="0" w:after="0"/>
              <w:jc w:val="both"/>
              <w:rPr/>
            </w:pPr>
            <w:r>
              <w:rPr>
                <w:color w:val="000000"/>
                <w:sz w:val="20"/>
              </w:rPr>
              <w:t>/s/ Hannah E. Dunn</w:t>
            </w:r>
            <w:r>
              <w:rPr/>
              <w:t xml:space="preserve"> </w:t>
            </w:r>
          </w:p>
        </w:tc>
      </w:tr>
      <w:tr>
        <w:trPr/>
        <w:tc>
          <w:tcPr>
            <w:tcW w:w="10205" w:type="dxa"/>
            <w:tcBorders/>
            <w:tcMar>
              <w:bottom w:w="0" w:type="dxa"/>
            </w:tcMar>
            <w:vAlign w:val="center"/>
          </w:tcPr>
          <w:p>
            <w:pPr>
              <w:pStyle w:val="TableContents"/>
              <w:bidi w:val="0"/>
              <w:spacing w:before="0" w:after="0"/>
              <w:jc w:val="both"/>
              <w:rPr/>
            </w:pPr>
            <w:r>
              <w:rPr>
                <w:color w:val="000000"/>
                <w:sz w:val="20"/>
              </w:rPr>
              <w:t>Hannah E. Dunn, individually and as attorney-in-fact for each of Joshua J. Dapice, Philip D. Dreyfuss, Varun N. Gehani, Nicolas Giauque, Avner A. Husen, David T. Kim, Michael G. Linn, Patrick (Cheng) Luo, Thomas G. Roberts, Jr., Edric C. Saito, Daniel S. Short, Andrew J. M. Spokes, John R. Warren and Mark C. Wehrly</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fontTable" Target="fontTable.xml"/><Relationship Id="rId1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5945</Words>
  <Characters>30848</Characters>
  <CharactersWithSpaces>36172</CharactersWithSpaces>
  <Paragraphs>1622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