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32"/>
        </w:rPr>
      </w:pPr>
      <w:r>
        <w:rPr>
          <w:rFonts w:ascii="sans-serif" w:hAnsi="sans-serif"/>
          <w:b/>
          <w:color w:val="000000"/>
          <w:sz w:val="32"/>
        </w:rPr>
        <w:t>UNITED STATES</w:t>
      </w:r>
    </w:p>
    <w:p>
      <w:pPr>
        <w:pStyle w:val="TextBody"/>
        <w:bidi w:val="0"/>
        <w:spacing w:lineRule="auto" w:line="288" w:before="0" w:after="0"/>
        <w:jc w:val="center"/>
        <w:rPr>
          <w:rFonts w:ascii="sans-serif" w:hAnsi="sans-serif"/>
          <w:b/>
          <w:color w:val="000000"/>
          <w:sz w:val="32"/>
        </w:rPr>
      </w:pPr>
      <w:r>
        <w:rPr>
          <w:rFonts w:ascii="sans-serif" w:hAnsi="sans-serif"/>
          <w:b/>
          <w:color w:val="000000"/>
          <w:sz w:val="32"/>
        </w:rPr>
        <w:t>SECURITIES AND EXCHANGE COMMISSION</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Washington, D.C. 20549</w:t>
      </w:r>
    </w:p>
    <w:p>
      <w:pPr>
        <w:pStyle w:val="TextBody"/>
        <w:bidi w:val="0"/>
        <w:spacing w:before="0" w:after="0"/>
        <w:jc w:val="center"/>
        <w:rPr/>
      </w:pPr>
      <w:r>
        <w:rPr/>
      </w:r>
    </w:p>
    <w:tbl>
      <w:tblPr>
        <w:tblW w:w="1905" w:type="dxa"/>
        <w:jc w:val="center"/>
        <w:tblInd w:w="0" w:type="dxa"/>
        <w:tblLayout w:type="fixed"/>
        <w:tblCellMar>
          <w:top w:w="28" w:type="dxa"/>
          <w:left w:w="28" w:type="dxa"/>
          <w:bottom w:w="28" w:type="dxa"/>
          <w:right w:w="28" w:type="dxa"/>
        </w:tblCellMar>
      </w:tblPr>
      <w:tblGrid>
        <w:gridCol w:w="419"/>
        <w:gridCol w:w="368"/>
        <w:gridCol w:w="369"/>
        <w:gridCol w:w="218"/>
        <w:gridCol w:w="218"/>
        <w:gridCol w:w="313"/>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32"/>
              </w:rPr>
            </w:pPr>
            <w:r>
              <w:rPr>
                <w:rFonts w:ascii="sans-serif" w:hAnsi="sans-serif"/>
                <w:b/>
                <w:color w:val="000000"/>
                <w:sz w:val="32"/>
              </w:rPr>
              <w:t>FORM</w:t>
            </w:r>
          </w:p>
        </w:tc>
        <w:tc>
          <w:tcPr>
            <w:tcW w:w="7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32"/>
              </w:rPr>
            </w:pPr>
            <w:r>
              <w:rPr>
                <w:rFonts w:ascii="sans-serif" w:hAnsi="sans-serif"/>
                <w:b/>
                <w:color w:val="000000"/>
                <w:sz w:val="32"/>
              </w:rPr>
              <w:t>8-K</w:t>
            </w:r>
          </w:p>
        </w:tc>
      </w:tr>
    </w:tbl>
    <w:p>
      <w:pPr>
        <w:pStyle w:val="TextBody"/>
        <w:bidi w:val="0"/>
        <w:spacing w:before="0" w:after="0"/>
        <w:jc w:val="center"/>
        <w:rPr/>
      </w:pPr>
      <w:r>
        <w:rPr/>
      </w:r>
    </w:p>
    <w:p>
      <w:pPr>
        <w:pStyle w:val="TextBody"/>
        <w:bidi w:val="0"/>
        <w:spacing w:lineRule="auto" w:line="288" w:before="100" w:after="283"/>
        <w:jc w:val="center"/>
        <w:rPr>
          <w:rFonts w:ascii="sans-serif" w:hAnsi="sans-serif"/>
          <w:b/>
          <w:color w:val="000000"/>
          <w:sz w:val="20"/>
        </w:rPr>
      </w:pPr>
      <w:r>
        <w:rPr>
          <w:rFonts w:ascii="sans-serif" w:hAnsi="sans-serif"/>
          <w:b/>
          <w:color w:val="000000"/>
          <w:sz w:val="20"/>
        </w:rPr>
        <w:t xml:space="preserve">CURRENT REPORT </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 xml:space="preserve">PURSUANT TO SECTION 13 OR 15(d) OF THE </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 xml:space="preserve">SECURITIES EXCHANGE ACT OF 1934 </w:t>
      </w:r>
    </w:p>
    <w:p>
      <w:pPr>
        <w:pStyle w:val="TextBody"/>
        <w:bidi w:val="0"/>
        <w:spacing w:lineRule="auto" w:line="288" w:before="180" w:after="283"/>
        <w:jc w:val="center"/>
        <w:rPr>
          <w:rFonts w:ascii="sans-serif" w:hAnsi="sans-serif"/>
          <w:b/>
          <w:color w:val="000000"/>
          <w:sz w:val="20"/>
        </w:rPr>
      </w:pPr>
      <w:r>
        <w:rPr>
          <w:rFonts w:ascii="sans-serif" w:hAnsi="sans-serif"/>
          <w:b/>
          <w:color w:val="000000"/>
          <w:sz w:val="20"/>
        </w:rPr>
        <w:t>Date of Report (Date of earliest event reported): September 10, 2026</w:t>
      </w:r>
    </w:p>
    <w:p>
      <w:pPr>
        <w:pStyle w:val="TextBody"/>
        <w:bidi w:val="0"/>
        <w:spacing w:before="0" w:after="0"/>
        <w:jc w:val="center"/>
        <w:rPr/>
      </w:pPr>
      <w:r>
        <w:rPr/>
      </w:r>
    </w:p>
    <w:tbl>
      <w:tblPr>
        <w:tblW w:w="4485" w:type="dxa"/>
        <w:jc w:val="center"/>
        <w:tblInd w:w="0" w:type="dxa"/>
        <w:tblLayout w:type="fixed"/>
        <w:tblCellMar>
          <w:top w:w="28" w:type="dxa"/>
          <w:left w:w="28" w:type="dxa"/>
          <w:bottom w:w="28" w:type="dxa"/>
          <w:right w:w="28" w:type="dxa"/>
        </w:tblCellMar>
      </w:tblPr>
      <w:tblGrid>
        <w:gridCol w:w="1436"/>
        <w:gridCol w:w="1262"/>
        <w:gridCol w:w="1787"/>
      </w:tblGrid>
      <w:tr>
        <w:trPr/>
        <w:tc>
          <w:tcPr>
            <w:tcW w:w="143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1685925"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85925" cy="447675"/>
                          </a:xfrm>
                          <a:prstGeom prst="rect">
                            <a:avLst/>
                          </a:prstGeom>
                        </pic:spPr>
                      </pic:pic>
                    </a:graphicData>
                  </a:graphic>
                </wp:inline>
              </w:drawing>
            </w:r>
            <w:bookmarkStart w:id="0" w:name="i-1"/>
            <w:bookmarkEnd w:id="0"/>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sans-serif" w:hAnsi="sans-serif"/>
                <w:b/>
                <w:color w:val="000000"/>
                <w:sz w:val="32"/>
              </w:rPr>
            </w:pPr>
            <w:r>
              <w:rPr>
                <w:rFonts w:ascii="sans-serif" w:hAnsi="sans-serif"/>
                <w:b/>
                <w:color w:val="000000"/>
                <w:sz w:val="32"/>
              </w:rPr>
              <w:t>EXELIXIS, INC.</w:t>
            </w:r>
          </w:p>
        </w:tc>
      </w:tr>
      <w:tr>
        <w:trPr/>
        <w:tc>
          <w:tcPr>
            <w:tcW w:w="44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(Exact name of registrant as specified in its charter)</w:t>
            </w:r>
          </w:p>
        </w:tc>
      </w:tr>
    </w:tbl>
    <w:p>
      <w:pPr>
        <w:pStyle w:val="TextBody"/>
        <w:bidi w:val="0"/>
        <w:spacing w:before="0" w:after="0"/>
        <w:jc w:val="center"/>
        <w:rPr/>
      </w:pPr>
      <w:r>
        <w:rPr/>
      </w:r>
    </w:p>
    <w:tbl>
      <w:tblPr>
        <w:tblW w:w="8909" w:type="dxa"/>
        <w:jc w:val="center"/>
        <w:tblInd w:w="0" w:type="dxa"/>
        <w:tblLayout w:type="fixed"/>
        <w:tblCellMar>
          <w:top w:w="28" w:type="dxa"/>
          <w:left w:w="28" w:type="dxa"/>
          <w:bottom w:w="28" w:type="dxa"/>
          <w:right w:w="28" w:type="dxa"/>
        </w:tblCellMar>
      </w:tblPr>
      <w:tblGrid>
        <w:gridCol w:w="1363"/>
        <w:gridCol w:w="1196"/>
        <w:gridCol w:w="1205"/>
        <w:gridCol w:w="769"/>
        <w:gridCol w:w="769"/>
        <w:gridCol w:w="772"/>
        <w:gridCol w:w="831"/>
        <w:gridCol w:w="831"/>
        <w:gridCol w:w="1173"/>
      </w:tblGrid>
      <w:tr>
        <w:trPr/>
        <w:tc>
          <w:tcPr>
            <w:tcW w:w="1363"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sans-serif" w:hAnsi="sans-serif"/>
                <w:b/>
                <w:color w:val="000000"/>
                <w:sz w:val="20"/>
              </w:rPr>
            </w:pPr>
            <w:r>
              <w:rPr>
                <w:rFonts w:ascii="sans-serif" w:hAnsi="sans-serif"/>
                <w:b/>
                <w:color w:val="000000"/>
                <w:sz w:val="20"/>
              </w:rPr>
              <w:t>Delaware</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sans-serif" w:hAnsi="sans-serif"/>
                <w:b/>
                <w:color w:val="000000"/>
                <w:sz w:val="20"/>
              </w:rPr>
            </w:pPr>
            <w:r>
              <w:rPr>
                <w:rFonts w:ascii="sans-serif" w:hAnsi="sans-serif"/>
                <w:b/>
                <w:color w:val="000000"/>
                <w:sz w:val="20"/>
              </w:rPr>
              <w:t>000-30235</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sans-serif" w:hAnsi="sans-serif"/>
                <w:b/>
                <w:color w:val="000000"/>
                <w:sz w:val="20"/>
              </w:rPr>
            </w:pPr>
            <w:r>
              <w:rPr>
                <w:rFonts w:ascii="sans-serif" w:hAnsi="sans-serif"/>
                <w:b/>
                <w:color w:val="000000"/>
                <w:sz w:val="20"/>
              </w:rPr>
              <w:t>04-3257395</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sans-serif" w:hAnsi="sans-serif"/>
                <w:b w:val="false"/>
                <w:color w:val="000000"/>
                <w:sz w:val="16"/>
              </w:rPr>
            </w:pPr>
            <w:r>
              <w:rPr>
                <w:rFonts w:ascii="sans-serif" w:hAnsi="sans-serif"/>
                <w:b w:val="false"/>
                <w:color w:val="000000"/>
                <w:sz w:val="16"/>
              </w:rPr>
              <w:t>(State or Other Jurisdiction of Incorporation)</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sans-serif" w:hAnsi="sans-serif"/>
                <w:b w:val="false"/>
                <w:color w:val="000000"/>
                <w:sz w:val="16"/>
              </w:rPr>
            </w:pPr>
            <w:r>
              <w:rPr>
                <w:rFonts w:ascii="sans-serif" w:hAnsi="sans-serif"/>
                <w:b w:val="false"/>
                <w:color w:val="000000"/>
                <w:sz w:val="16"/>
              </w:rPr>
              <w:t>(Commission File Number)</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sans-serif" w:hAnsi="sans-serif"/>
                <w:b w:val="false"/>
                <w:color w:val="000000"/>
                <w:sz w:val="16"/>
              </w:rPr>
            </w:pPr>
            <w:r>
              <w:rPr>
                <w:rFonts w:ascii="sans-serif" w:hAnsi="sans-serif"/>
                <w:b w:val="false"/>
                <w:color w:val="000000"/>
                <w:sz w:val="16"/>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 xml:space="preserve">1851 Harbor Bay Parkway </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 xml:space="preserve">Alameda, California 94502 </w:t>
      </w:r>
    </w:p>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 xml:space="preserve">(650) 837-7000 </w:t>
      </w:r>
    </w:p>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 xml:space="preserve">(Registrant’s telephone number, including area code) </w:t>
      </w:r>
    </w:p>
    <w:p>
      <w:pPr>
        <w:pStyle w:val="TextBody"/>
        <w:bidi w:val="0"/>
        <w:spacing w:lineRule="auto" w:line="288" w:before="180" w:after="283"/>
        <w:jc w:val="left"/>
        <w:rPr>
          <w:rFonts w:ascii="sans-serif" w:hAnsi="sans-serif"/>
          <w:b w:val="false"/>
          <w:color w:val="000000"/>
          <w:sz w:val="20"/>
        </w:rPr>
      </w:pPr>
      <w:r>
        <w:rPr>
          <w:rFonts w:ascii="sans-serif" w:hAnsi="sans-serif"/>
          <w:b w:val="false"/>
          <w:color w:val="000000"/>
          <w:sz w:val="20"/>
        </w:rPr>
        <w:t xml:space="preserve">Check the appropriate box below if the Form 8-K filing is intended to simultaneously satisfy the filing obligation of the registrant under any of the following provisions (see General Instruction A.2. below): </w:t>
      </w:r>
    </w:p>
    <w:p>
      <w:pPr>
        <w:pStyle w:val="TextBody"/>
        <w:bidi w:val="0"/>
        <w:spacing w:lineRule="auto" w:line="288" w:before="180" w:after="283"/>
        <w:ind w:left="0" w:right="0" w:firstLine="360"/>
        <w:jc w:val="left"/>
        <w:rPr/>
      </w:pPr>
      <w:r>
        <w:rPr>
          <w:color w:val="000000"/>
        </w:rPr>
        <w:t>☐    </w:t>
      </w:r>
      <w:r>
        <w:rPr>
          <w:rFonts w:ascii="sans-serif" w:hAnsi="sans-serif"/>
          <w:b w:val="false"/>
          <w:color w:val="000000"/>
          <w:sz w:val="20"/>
        </w:rPr>
        <w:t xml:space="preserve">Written communications pursuant to Rule 425 under the Securities Act (17 CFR 230.425) </w:t>
      </w:r>
    </w:p>
    <w:p>
      <w:pPr>
        <w:pStyle w:val="TextBody"/>
        <w:bidi w:val="0"/>
        <w:spacing w:lineRule="auto" w:line="288" w:before="180" w:after="283"/>
        <w:ind w:left="0" w:right="0" w:firstLine="360"/>
        <w:jc w:val="left"/>
        <w:rPr/>
      </w:pPr>
      <w:r>
        <w:rPr>
          <w:color w:val="000000"/>
        </w:rPr>
        <w:t>☐    </w:t>
      </w:r>
      <w:r>
        <w:rPr>
          <w:rFonts w:ascii="sans-serif" w:hAnsi="sans-serif"/>
          <w:b w:val="false"/>
          <w:color w:val="000000"/>
          <w:sz w:val="20"/>
        </w:rPr>
        <w:t xml:space="preserve">Soliciting material pursuant to Rule 14a-12 under the Exchange Act (17 CFR 240.14a-12) </w:t>
      </w:r>
    </w:p>
    <w:p>
      <w:pPr>
        <w:pStyle w:val="TextBody"/>
        <w:bidi w:val="0"/>
        <w:spacing w:lineRule="auto" w:line="288" w:before="180" w:after="283"/>
        <w:ind w:left="0" w:right="0" w:firstLine="360"/>
        <w:jc w:val="left"/>
        <w:rPr/>
      </w:pPr>
      <w:r>
        <w:rPr>
          <w:color w:val="000000"/>
        </w:rPr>
        <w:t>☐    </w:t>
      </w:r>
      <w:r>
        <w:rPr>
          <w:rFonts w:ascii="sans-serif" w:hAnsi="sans-serif"/>
          <w:b w:val="false"/>
          <w:color w:val="000000"/>
          <w:sz w:val="20"/>
        </w:rPr>
        <w:t xml:space="preserve">Pre-commencement communications pursuant to Rule 14d-2(b) under the Exchange Act (17 CFR 240.14d-2(b)) </w:t>
      </w:r>
    </w:p>
    <w:p>
      <w:pPr>
        <w:pStyle w:val="TextBody"/>
        <w:bidi w:val="0"/>
        <w:spacing w:lineRule="auto" w:line="288" w:before="180" w:after="283"/>
        <w:ind w:left="0" w:right="0" w:firstLine="360"/>
        <w:jc w:val="left"/>
        <w:rPr/>
      </w:pPr>
      <w:r>
        <w:rPr>
          <w:color w:val="000000"/>
        </w:rPr>
        <w:t>☐    </w:t>
      </w:r>
      <w:r>
        <w:rPr>
          <w:rFonts w:ascii="sans-serif" w:hAnsi="sans-serif"/>
          <w:b w:val="false"/>
          <w:color w:val="00000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60" w:after="100"/>
        <w:jc w:val="center"/>
        <w:rPr>
          <w:rFonts w:ascii="sans-serif" w:hAnsi="sans-serif"/>
          <w:b w:val="false"/>
          <w:color w:val="000000"/>
          <w:sz w:val="20"/>
        </w:rPr>
      </w:pPr>
      <w:r>
        <w:rPr>
          <w:rFonts w:ascii="sans-serif" w:hAnsi="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627"/>
        <w:gridCol w:w="1378"/>
        <w:gridCol w:w="1382"/>
        <w:gridCol w:w="586"/>
        <w:gridCol w:w="586"/>
        <w:gridCol w:w="588"/>
        <w:gridCol w:w="1187"/>
        <w:gridCol w:w="1187"/>
        <w:gridCol w:w="1684"/>
      </w:tblGrid>
      <w:tr>
        <w:trPr/>
        <w:tc>
          <w:tcPr>
            <w:tcW w:w="1627"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r>
      <w:tr>
        <w:trPr/>
        <w:tc>
          <w:tcPr>
            <w:tcW w:w="4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u w:val="single"/>
              </w:rPr>
            </w:pPr>
            <w:r>
              <w:rPr>
                <w:rFonts w:ascii="sans-serif" w:hAnsi="sans-serif"/>
                <w:b w:val="false"/>
                <w:color w:val="000000"/>
                <w:sz w:val="20"/>
                <w:u w:val="single"/>
              </w:rPr>
              <w:t>Title of each class</w:t>
            </w:r>
          </w:p>
        </w:tc>
        <w:tc>
          <w:tcPr>
            <w:tcW w:w="1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u w:val="single"/>
              </w:rPr>
            </w:pPr>
            <w:r>
              <w:rPr>
                <w:rFonts w:ascii="sans-serif" w:hAnsi="sans-serif"/>
                <w:b w:val="false"/>
                <w:color w:val="000000"/>
                <w:sz w:val="20"/>
                <w:u w:val="single"/>
              </w:rPr>
              <w:t>Trading Symbol(s)</w:t>
            </w:r>
          </w:p>
        </w:tc>
        <w:tc>
          <w:tcPr>
            <w:tcW w:w="4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u w:val="single"/>
              </w:rPr>
            </w:pPr>
            <w:r>
              <w:rPr>
                <w:rFonts w:ascii="sans-serif" w:hAnsi="sans-serif"/>
                <w:b w:val="false"/>
                <w:color w:val="000000"/>
                <w:sz w:val="20"/>
                <w:u w:val="single"/>
              </w:rPr>
              <w:t>Name of each exchange on which registered</w:t>
            </w:r>
          </w:p>
        </w:tc>
      </w:tr>
      <w:tr>
        <w:trPr/>
        <w:tc>
          <w:tcPr>
            <w:tcW w:w="4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Common Stock $0.001 Par Value per Share</w:t>
            </w:r>
          </w:p>
        </w:tc>
        <w:tc>
          <w:tcPr>
            <w:tcW w:w="1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EXEL</w:t>
            </w:r>
          </w:p>
        </w:tc>
        <w:tc>
          <w:tcPr>
            <w:tcW w:w="4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The Nasdaq Stock Market LLC</w:t>
            </w:r>
          </w:p>
        </w:tc>
      </w:tr>
    </w:tbl>
    <w:p>
      <w:pPr>
        <w:pStyle w:val="TextBody"/>
        <w:bidi w:val="0"/>
        <w:spacing w:lineRule="auto" w:line="288" w:before="120" w:after="283"/>
        <w:jc w:val="left"/>
        <w:rPr/>
      </w:pPr>
      <w:r>
        <w:rPr>
          <w:rFonts w:ascii="sans-serif" w:hAnsi="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color w:val="000000"/>
        </w:rPr>
        <w:t>☐</w:t>
      </w:r>
    </w:p>
    <w:p>
      <w:pPr>
        <w:pStyle w:val="TextBody"/>
        <w:bidi w:val="0"/>
        <w:spacing w:lineRule="auto" w:line="288" w:before="180" w:after="283"/>
        <w:jc w:val="left"/>
        <w:rPr/>
      </w:pPr>
      <w:r>
        <w:rPr>
          <w:rFonts w:ascii="sans-serif" w:hAnsi="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0"/>
        </w:rPr>
      </w:pPr>
      <w:r>
        <w:rPr>
          <w:rFonts w:ascii="sans-serif" w:hAnsi="sans-serif"/>
          <w:b/>
          <w:color w:val="000000"/>
          <w:sz w:val="20"/>
        </w:rPr>
        <w:t>Item 8.01. Other Events.</w:t>
      </w:r>
    </w:p>
    <w:p>
      <w:pPr>
        <w:pStyle w:val="TextBody"/>
        <w:bidi w:val="0"/>
        <w:spacing w:before="0" w:after="0"/>
        <w:jc w:val="left"/>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Today, Exelixis, Inc. (Exelixis) announced that on September 10, 2026, the U.S. Food and Drug Administration (FDA) notified Exelixis that it had extended the review period for Exelixis’ new drug application (NDA) for zanzalintinib, in combination with atezolizumab, for the treatment of patients with metastatic colorectal cancer by three months. In response to an FDA information request, Exelixis had submitted updated safety and efficacy data, which the FDA has deemed a major amendment. The updated Prescription Drug User Fee Act action date is March 3,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 xml:space="preserve">SIGNATURES </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7043" w:type="dxa"/>
        <w:jc w:val="right"/>
        <w:tblInd w:w="0" w:type="dxa"/>
        <w:tblLayout w:type="fixed"/>
        <w:tblCellMar>
          <w:top w:w="28" w:type="dxa"/>
          <w:left w:w="28" w:type="dxa"/>
          <w:bottom w:w="28" w:type="dxa"/>
          <w:right w:w="28" w:type="dxa"/>
        </w:tblCellMar>
      </w:tblPr>
      <w:tblGrid>
        <w:gridCol w:w="756"/>
        <w:gridCol w:w="663"/>
        <w:gridCol w:w="666"/>
        <w:gridCol w:w="109"/>
        <w:gridCol w:w="109"/>
        <w:gridCol w:w="109"/>
        <w:gridCol w:w="109"/>
        <w:gridCol w:w="109"/>
        <w:gridCol w:w="109"/>
        <w:gridCol w:w="1260"/>
        <w:gridCol w:w="1260"/>
        <w:gridCol w:w="1784"/>
      </w:tblGrid>
      <w:tr>
        <w:trPr/>
        <w:tc>
          <w:tcPr>
            <w:tcW w:w="7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E</w:t>
            </w:r>
            <w:r>
              <w:rPr>
                <w:rFonts w:ascii="sans-serif" w:hAnsi="sans-serif"/>
                <w:b w:val="false"/>
                <w:color w:val="000000"/>
                <w:sz w:val="16"/>
              </w:rPr>
              <w:t xml:space="preserve">XELIXIS, </w:t>
            </w:r>
            <w:r>
              <w:rPr>
                <w:rFonts w:ascii="sans-serif" w:hAnsi="sans-serif"/>
                <w:b w:val="false"/>
                <w:color w:val="000000"/>
                <w:sz w:val="20"/>
              </w:rPr>
              <w:t>I</w:t>
            </w:r>
            <w:r>
              <w:rPr>
                <w:rFonts w:ascii="sans-serif" w:hAnsi="sans-serif"/>
                <w:b w:val="false"/>
                <w:color w:val="000000"/>
                <w:sz w:val="16"/>
              </w:rPr>
              <w:t>NC.</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September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sans-serif" w:hAnsi="sans-serif"/>
                <w:b w:val="false"/>
                <w:color w:val="000000"/>
                <w:sz w:val="20"/>
              </w:rPr>
            </w:pPr>
            <w:r>
              <w:rPr>
                <w:rFonts w:ascii="sans-serif" w:hAnsi="sans-serif"/>
                <w:b w:val="false"/>
                <w:color w:val="000000"/>
                <w:sz w:val="20"/>
              </w:rPr>
              <w:t>/s/ Brenda J. Hefti</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Brenda J. Hefti</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Senior Vice President and General Counsel</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435</Words>
  <Characters>2405</Characters>
  <CharactersWithSpaces>2820</CharactersWithSpaces>
  <Paragraphs>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