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33020</wp:posOffset>
            </wp:positionV>
            <wp:extent cx="2288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-198120</wp:posOffset>
            </wp:positionV>
            <wp:extent cx="22885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394970</wp:posOffset>
            </wp:positionV>
            <wp:extent cx="228854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EXELIXIS, INC.</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27940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700"/>
        <w:spacing w:after="0"/>
        <w:rPr>
          <w:sz w:val="20"/>
          <w:szCs w:val="20"/>
          <w:color w:val="auto"/>
        </w:rPr>
      </w:pPr>
      <w:r>
        <w:rPr>
          <w:rFonts w:ascii="Arial" w:cs="Arial" w:eastAsia="Arial" w:hAnsi="Arial"/>
          <w:sz w:val="17"/>
          <w:szCs w:val="17"/>
          <w:b w:val="1"/>
          <w:bCs w:val="1"/>
          <w:color w:val="auto"/>
        </w:rPr>
        <w:t>000-30235</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04-3257395</w:t>
      </w:r>
    </w:p>
    <w:p>
      <w:pPr>
        <w:spacing w:after="0" w:line="70" w:lineRule="exact"/>
        <w:rPr>
          <w:sz w:val="24"/>
          <w:szCs w:val="24"/>
          <w:color w:val="auto"/>
        </w:rPr>
      </w:pPr>
    </w:p>
    <w:p>
      <w:pPr>
        <w:sectPr>
          <w:pgSz w:w="11900" w:h="16838" w:orient="portrait"/>
          <w:cols w:equalWidth="0" w:num="3">
            <w:col w:w="4420" w:space="720"/>
            <w:col w:w="2560" w:space="720"/>
            <w:col w:w="2820"/>
          </w:cols>
          <w:pgMar w:left="320" w:top="1239" w:right="339" w:bottom="1440" w:gutter="0" w:footer="0" w:header="0"/>
          <w:type w:val="continuous"/>
        </w:sectPr>
      </w:pPr>
    </w:p>
    <w:p>
      <w:pPr>
        <w:ind w:left="90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000" w:space="720"/>
            <w:col w:w="2420" w:space="720"/>
            <w:col w:w="3380"/>
          </w:cols>
          <w:pgMar w:left="320" w:top="1239" w:right="339" w:bottom="1440" w:gutter="0" w:footer="0" w:header="0"/>
          <w:type w:val="continuous"/>
        </w:sectPr>
      </w:pPr>
    </w:p>
    <w:p>
      <w:pPr>
        <w:spacing w:after="0" w:line="16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1851 Harbor Bay Parkway</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Alameda, California 94502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837-7000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53"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9"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8"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1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Trading Symbol(s)</w:t>
            </w:r>
          </w:p>
        </w:tc>
        <w:tc>
          <w:tcPr>
            <w:tcW w:w="3960" w:type="dxa"/>
            <w:vAlign w:val="bottom"/>
            <w:gridSpan w:val="2"/>
          </w:tcPr>
          <w:p>
            <w:pPr>
              <w:jc w:val="center"/>
              <w:ind w:left="31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62"/>
        </w:trPr>
        <w:tc>
          <w:tcPr>
            <w:tcW w:w="40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Common Stock $0.001 Par Value per Share</w:t>
            </w:r>
          </w:p>
        </w:tc>
        <w:tc>
          <w:tcPr>
            <w:tcW w:w="400" w:type="dxa"/>
            <w:vAlign w:val="bottom"/>
          </w:tcPr>
          <w:p>
            <w:pPr>
              <w:spacing w:after="0"/>
              <w:rPr>
                <w:sz w:val="22"/>
                <w:szCs w:val="22"/>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EXEL</w:t>
            </w:r>
          </w:p>
        </w:tc>
        <w:tc>
          <w:tcPr>
            <w:tcW w:w="400" w:type="dxa"/>
            <w:vAlign w:val="bottom"/>
          </w:tcPr>
          <w:p>
            <w:pPr>
              <w:spacing w:after="0"/>
              <w:rPr>
                <w:sz w:val="22"/>
                <w:szCs w:val="22"/>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293"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type w:val="continuous"/>
        </w:sectPr>
      </w:pPr>
    </w:p>
    <w:bookmarkStart w:id="1" w:name="page2"/>
    <w:bookmarkEnd w:id="1"/>
    <w:p>
      <w:pPr>
        <w:ind w:right="74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4"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On May 26, 2026, at the 2026 Annual Meeting of Stockholders (the Annual Meeting) of Exelixis, Inc. (Exelixis), Exelixis’ stockholders, upon recommendation of Exelixis’ Board of Directors, approved the amendment and restatement of the Exelixis, Inc. 2017 Equity Incentive Plan (as so amended and restated, the 2017 Plan). The 2017 Plan became effective immediately upon stockholder approval at the Annual Meeting.</w:t>
      </w:r>
    </w:p>
    <w:p>
      <w:pPr>
        <w:spacing w:after="0" w:line="20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summary of the terms and conditions of the 2017 Plan is set forth in “Proposal 3: Amendment and Restatement of the Exelixis, Inc. 2017 Equity Incentive Plan” in Exelixis’ definitive proxy statement for the Annual Meeting filed with the Securities and Exchange Commission on April 15, 2026 (the Proxy Statement), which description is incorporated by reference herein. The foregoing description and the description incorporated by reference from the Proxy Statement are qualified in their entirety by reference to the full text of the 2017 Plan, a copy of which is filed as Exhibit 10.1 to this report.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52" w:lineRule="exact"/>
        <w:rPr>
          <w:sz w:val="20"/>
          <w:szCs w:val="20"/>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26, 2026, Exelixis held its Annual Meeting via live webcast.</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the matters submitted to a stockholder vote at the Annual Meeting were as follows:</w:t>
      </w:r>
    </w:p>
    <w:p>
      <w:pPr>
        <w:spacing w:after="0" w:line="252" w:lineRule="exact"/>
        <w:rPr>
          <w:rFonts w:ascii="Arial" w:cs="Arial" w:eastAsia="Arial" w:hAnsi="Arial"/>
          <w:sz w:val="18"/>
          <w:szCs w:val="18"/>
          <w:color w:val="auto"/>
        </w:rPr>
      </w:pPr>
    </w:p>
    <w:p>
      <w:pPr>
        <w:ind w:left="1200" w:right="400" w:hanging="333"/>
        <w:spacing w:after="0" w:line="268" w:lineRule="auto"/>
        <w:tabs>
          <w:tab w:leader="none" w:pos="1201" w:val="left"/>
        </w:tabs>
        <w:numPr>
          <w:ilvl w:val="1"/>
          <w:numId w:val="2"/>
        </w:numPr>
        <w:rPr>
          <w:rFonts w:ascii="Arial" w:cs="Arial" w:eastAsia="Arial" w:hAnsi="Arial"/>
          <w:sz w:val="18"/>
          <w:szCs w:val="18"/>
          <w:color w:val="auto"/>
        </w:rPr>
      </w:pPr>
      <w:r>
        <w:rPr>
          <w:rFonts w:ascii="Arial" w:cs="Arial" w:eastAsia="Arial" w:hAnsi="Arial"/>
          <w:sz w:val="18"/>
          <w:szCs w:val="18"/>
          <w:color w:val="auto"/>
        </w:rPr>
        <w:t>Election of Directors: Exelixis stockholders elected the following 11 directors to serve until the next annual meeting of stockholders in 2027, and until his or her successor is elected and qualified, or until his or her earlier death, resignation or removal:</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BROKER NON-</w:t>
            </w:r>
          </w:p>
        </w:tc>
      </w:tr>
      <w:tr>
        <w:trPr>
          <w:trHeight w:val="240"/>
        </w:trPr>
        <w:tc>
          <w:tcPr>
            <w:tcW w:w="322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FOR</w:t>
            </w:r>
          </w:p>
        </w:tc>
        <w:tc>
          <w:tcPr>
            <w:tcW w:w="1460" w:type="dxa"/>
            <w:vAlign w:val="bottom"/>
            <w:gridSpan w:val="2"/>
          </w:tcPr>
          <w:p>
            <w:pPr>
              <w:ind w:left="300"/>
              <w:spacing w:after="0"/>
              <w:rPr>
                <w:sz w:val="20"/>
                <w:szCs w:val="20"/>
                <w:color w:val="auto"/>
              </w:rPr>
            </w:pPr>
            <w:r>
              <w:rPr>
                <w:rFonts w:ascii="Arial" w:cs="Arial" w:eastAsia="Arial" w:hAnsi="Arial"/>
                <w:sz w:val="16"/>
                <w:szCs w:val="16"/>
                <w:b w:val="1"/>
                <w:bCs w:val="1"/>
                <w:color w:val="auto"/>
              </w:rPr>
              <w:t>AGAINST</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ABSTAIN</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VOTES</w:t>
            </w:r>
          </w:p>
        </w:tc>
      </w:tr>
      <w:tr>
        <w:trPr>
          <w:trHeight w:val="254"/>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F3F3F"/>
              </w:rPr>
              <w:t>Mary C. Beckerle, Ph.D.</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204,854,581</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1,538,523</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197,202</w:t>
            </w:r>
          </w:p>
        </w:tc>
        <w:tc>
          <w:tcPr>
            <w:tcW w:w="8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22,436,080</w:t>
            </w:r>
          </w:p>
        </w:tc>
      </w:tr>
      <w:tr>
        <w:trPr>
          <w:trHeight w:val="248"/>
        </w:trPr>
        <w:tc>
          <w:tcPr>
            <w:tcW w:w="3220" w:type="dxa"/>
            <w:vAlign w:val="bottom"/>
          </w:tcPr>
          <w:p>
            <w:pPr>
              <w:spacing w:after="0"/>
              <w:rPr>
                <w:sz w:val="20"/>
                <w:szCs w:val="20"/>
                <w:color w:val="auto"/>
              </w:rPr>
            </w:pPr>
            <w:r>
              <w:rPr>
                <w:rFonts w:ascii="Arial" w:cs="Arial" w:eastAsia="Arial" w:hAnsi="Arial"/>
                <w:sz w:val="18"/>
                <w:szCs w:val="18"/>
                <w:color w:val="3F3F3F"/>
              </w:rPr>
              <w:t>S. Gail Eckhardt, M.D.</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205,409,482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1,022,879</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157,945</w:t>
            </w:r>
          </w:p>
        </w:tc>
        <w:tc>
          <w:tcPr>
            <w:tcW w:w="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22,436,080</w:t>
            </w:r>
          </w:p>
        </w:tc>
      </w:tr>
      <w:tr>
        <w:trPr>
          <w:trHeight w:val="265"/>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3F3F3F"/>
              </w:rPr>
              <w:t>Maria C. Freire, Ph.D.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180,367,648</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26,067,310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155,348</w:t>
            </w: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22,436,080</w:t>
            </w:r>
          </w:p>
        </w:tc>
      </w:tr>
      <w:tr>
        <w:trPr>
          <w:trHeight w:val="248"/>
        </w:trPr>
        <w:tc>
          <w:tcPr>
            <w:tcW w:w="3220" w:type="dxa"/>
            <w:vAlign w:val="bottom"/>
          </w:tcPr>
          <w:p>
            <w:pPr>
              <w:spacing w:after="0"/>
              <w:rPr>
                <w:sz w:val="20"/>
                <w:szCs w:val="20"/>
                <w:color w:val="auto"/>
              </w:rPr>
            </w:pPr>
            <w:r>
              <w:rPr>
                <w:rFonts w:ascii="Arial" w:cs="Arial" w:eastAsia="Arial" w:hAnsi="Arial"/>
                <w:sz w:val="18"/>
                <w:szCs w:val="18"/>
                <w:color w:val="3F3F3F"/>
              </w:rPr>
              <w:t>Tomas J. Heyman</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200,508,205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5,902,008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180,093</w:t>
            </w:r>
          </w:p>
        </w:tc>
        <w:tc>
          <w:tcPr>
            <w:tcW w:w="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22,436,080</w:t>
            </w:r>
          </w:p>
        </w:tc>
      </w:tr>
      <w:tr>
        <w:trPr>
          <w:trHeight w:val="265"/>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3F3F3F"/>
              </w:rPr>
              <w:t>David E. Johnson</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205,319,312</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1,096,455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174,539</w:t>
            </w: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22,436,080</w:t>
            </w:r>
          </w:p>
        </w:tc>
      </w:tr>
      <w:tr>
        <w:trPr>
          <w:trHeight w:val="248"/>
        </w:trPr>
        <w:tc>
          <w:tcPr>
            <w:tcW w:w="3220" w:type="dxa"/>
            <w:vAlign w:val="bottom"/>
          </w:tcPr>
          <w:p>
            <w:pPr>
              <w:spacing w:after="0"/>
              <w:rPr>
                <w:sz w:val="20"/>
                <w:szCs w:val="20"/>
                <w:color w:val="auto"/>
              </w:rPr>
            </w:pPr>
            <w:r>
              <w:rPr>
                <w:rFonts w:ascii="Arial" w:cs="Arial" w:eastAsia="Arial" w:hAnsi="Arial"/>
                <w:sz w:val="18"/>
                <w:szCs w:val="18"/>
                <w:color w:val="3F3F3F"/>
              </w:rPr>
              <w:t>Michael M. Morrissey, Ph.D.</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204,731,180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1,692,296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166,830</w:t>
            </w:r>
          </w:p>
        </w:tc>
        <w:tc>
          <w:tcPr>
            <w:tcW w:w="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22,436,080</w:t>
            </w:r>
          </w:p>
        </w:tc>
      </w:tr>
      <w:tr>
        <w:trPr>
          <w:trHeight w:val="265"/>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3F3F3F"/>
              </w:rPr>
              <w:t>Robert L. Oliver, Jr.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205,297,039</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1,137,865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155,402</w:t>
            </w: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22,436,080</w:t>
            </w:r>
          </w:p>
        </w:tc>
      </w:tr>
      <w:tr>
        <w:trPr>
          <w:trHeight w:val="248"/>
        </w:trPr>
        <w:tc>
          <w:tcPr>
            <w:tcW w:w="3220" w:type="dxa"/>
            <w:vAlign w:val="bottom"/>
          </w:tcPr>
          <w:p>
            <w:pPr>
              <w:spacing w:after="0"/>
              <w:rPr>
                <w:sz w:val="20"/>
                <w:szCs w:val="20"/>
                <w:color w:val="auto"/>
              </w:rPr>
            </w:pPr>
            <w:r>
              <w:rPr>
                <w:rFonts w:ascii="Arial" w:cs="Arial" w:eastAsia="Arial" w:hAnsi="Arial"/>
                <w:sz w:val="18"/>
                <w:szCs w:val="18"/>
                <w:color w:val="3F3F3F"/>
              </w:rPr>
              <w:t>Stelios Papadopoulos, Ph.D.</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198,500,120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7,922,275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167,911</w:t>
            </w:r>
          </w:p>
        </w:tc>
        <w:tc>
          <w:tcPr>
            <w:tcW w:w="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22,436,080</w:t>
            </w:r>
          </w:p>
        </w:tc>
      </w:tr>
      <w:tr>
        <w:trPr>
          <w:trHeight w:val="265"/>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3F3F3F"/>
              </w:rPr>
              <w:t>George Poste, DVM, Ph.D., FRS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204,405,453</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2,023,314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161,539</w:t>
            </w: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22,436,080</w:t>
            </w:r>
          </w:p>
        </w:tc>
      </w:tr>
      <w:tr>
        <w:trPr>
          <w:trHeight w:val="248"/>
        </w:trPr>
        <w:tc>
          <w:tcPr>
            <w:tcW w:w="3220" w:type="dxa"/>
            <w:vAlign w:val="bottom"/>
          </w:tcPr>
          <w:p>
            <w:pPr>
              <w:spacing w:after="0"/>
              <w:rPr>
                <w:sz w:val="20"/>
                <w:szCs w:val="20"/>
                <w:color w:val="auto"/>
              </w:rPr>
            </w:pPr>
            <w:r>
              <w:rPr>
                <w:rFonts w:ascii="Arial" w:cs="Arial" w:eastAsia="Arial" w:hAnsi="Arial"/>
                <w:sz w:val="18"/>
                <w:szCs w:val="18"/>
                <w:color w:val="3F3F3F"/>
              </w:rPr>
              <w:t>Julie Anne Smith</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202,976,810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3,456,942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156,554</w:t>
            </w:r>
          </w:p>
        </w:tc>
        <w:tc>
          <w:tcPr>
            <w:tcW w:w="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22,436,080</w:t>
            </w:r>
          </w:p>
        </w:tc>
      </w:tr>
      <w:tr>
        <w:trPr>
          <w:trHeight w:val="265"/>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3F3F3F"/>
              </w:rPr>
              <w:t>Jack L. Wyszomierski</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201,891,192</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4,536,760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162,354</w:t>
            </w:r>
          </w:p>
        </w:tc>
        <w:tc>
          <w:tcPr>
            <w:tcW w:w="8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22,436,080</w:t>
            </w:r>
          </w:p>
        </w:tc>
      </w:tr>
    </w:tbl>
    <w:p>
      <w:pPr>
        <w:spacing w:after="0" w:line="319" w:lineRule="exact"/>
        <w:rPr>
          <w:sz w:val="20"/>
          <w:szCs w:val="20"/>
          <w:color w:val="auto"/>
        </w:rPr>
      </w:pPr>
    </w:p>
    <w:p>
      <w:pPr>
        <w:jc w:val="both"/>
        <w:ind w:left="1120" w:right="120" w:hanging="318"/>
        <w:spacing w:after="0" w:line="268" w:lineRule="auto"/>
        <w:tabs>
          <w:tab w:leader="none" w:pos="1121"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Ernst &amp; Young LLP as Exelixis’ independent registered public accounting firm: Exelixis stockholders ratified the selection of Ernst &amp; Young LLP as Exelixis’ independent registered public accounting firm for the fiscal year ending January 1, 2027.</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BROKER NON-</w:t>
            </w:r>
          </w:p>
        </w:tc>
      </w:tr>
      <w:tr>
        <w:trPr>
          <w:trHeight w:val="240"/>
        </w:trPr>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FOR</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AGAINST</w:t>
            </w:r>
          </w:p>
        </w:tc>
        <w:tc>
          <w:tcPr>
            <w:tcW w:w="1520" w:type="dxa"/>
            <w:vAlign w:val="bottom"/>
            <w:gridSpan w:val="2"/>
          </w:tcPr>
          <w:p>
            <w:pPr>
              <w:ind w:left="360"/>
              <w:spacing w:after="0"/>
              <w:rPr>
                <w:sz w:val="20"/>
                <w:szCs w:val="20"/>
                <w:color w:val="auto"/>
              </w:rPr>
            </w:pPr>
            <w:r>
              <w:rPr>
                <w:rFonts w:ascii="Arial" w:cs="Arial" w:eastAsia="Arial" w:hAnsi="Arial"/>
                <w:sz w:val="16"/>
                <w:szCs w:val="16"/>
                <w:b w:val="1"/>
                <w:bCs w:val="1"/>
                <w:color w:val="auto"/>
              </w:rPr>
              <w:t>ABSTAIN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9"/>
              </w:rPr>
              <w:t>VOTES</w:t>
            </w:r>
          </w:p>
        </w:tc>
      </w:tr>
      <w:tr>
        <w:trPr>
          <w:trHeight w:val="254"/>
        </w:trPr>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222,343,120</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6,485,691</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197,575</w:t>
            </w:r>
          </w:p>
        </w:tc>
        <w:tc>
          <w:tcPr>
            <w:tcW w:w="8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24" w:lineRule="exact"/>
        <w:rPr>
          <w:sz w:val="20"/>
          <w:szCs w:val="20"/>
          <w:color w:val="auto"/>
        </w:rPr>
      </w:pPr>
    </w:p>
    <w:p>
      <w:pPr>
        <w:ind w:left="800"/>
        <w:spacing w:after="0"/>
        <w:tabs>
          <w:tab w:leader="none" w:pos="1100" w:val="left"/>
        </w:tabs>
        <w:rPr>
          <w:sz w:val="20"/>
          <w:szCs w:val="20"/>
          <w:color w:val="auto"/>
        </w:rPr>
      </w:pPr>
      <w:r>
        <w:rPr>
          <w:rFonts w:ascii="Arial" w:cs="Arial" w:eastAsia="Arial" w:hAnsi="Arial"/>
          <w:sz w:val="18"/>
          <w:szCs w:val="18"/>
          <w:color w:val="auto"/>
        </w:rPr>
        <w:t>3.</w:t>
        <w:tab/>
        <w:t>Approval of the 2017 Plan: Exelixis stockholders approved the 2017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40" w:type="dxa"/>
            <w:vAlign w:val="bottom"/>
            <w:gridSpan w:val="2"/>
          </w:tcPr>
          <w:p>
            <w:pPr>
              <w:jc w:val="center"/>
              <w:ind w:right="4140"/>
              <w:spacing w:after="0"/>
              <w:rPr>
                <w:sz w:val="20"/>
                <w:szCs w:val="20"/>
                <w:color w:val="auto"/>
              </w:rPr>
            </w:pPr>
            <w:r>
              <w:rPr>
                <w:rFonts w:ascii="Arial" w:cs="Arial" w:eastAsia="Arial" w:hAnsi="Arial"/>
                <w:sz w:val="16"/>
                <w:szCs w:val="16"/>
                <w:b w:val="1"/>
                <w:bCs w:val="1"/>
                <w:color w:val="auto"/>
              </w:rPr>
              <w:t>BROKER NON-</w:t>
            </w:r>
          </w:p>
        </w:tc>
      </w:tr>
      <w:tr>
        <w:trPr>
          <w:trHeight w:val="226"/>
        </w:trPr>
        <w:tc>
          <w:tcPr>
            <w:tcW w:w="112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FOR</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AGAINST</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ABSTAIN</w:t>
            </w:r>
          </w:p>
        </w:tc>
        <w:tc>
          <w:tcPr>
            <w:tcW w:w="5540" w:type="dxa"/>
            <w:vAlign w:val="bottom"/>
            <w:gridSpan w:val="2"/>
          </w:tcPr>
          <w:p>
            <w:pPr>
              <w:jc w:val="center"/>
              <w:ind w:right="4120"/>
              <w:spacing w:after="0"/>
              <w:rPr>
                <w:sz w:val="20"/>
                <w:szCs w:val="20"/>
                <w:color w:val="auto"/>
              </w:rPr>
            </w:pPr>
            <w:r>
              <w:rPr>
                <w:rFonts w:ascii="Arial" w:cs="Arial" w:eastAsia="Arial" w:hAnsi="Arial"/>
                <w:sz w:val="16"/>
                <w:szCs w:val="16"/>
                <w:b w:val="1"/>
                <w:bCs w:val="1"/>
                <w:color w:val="auto"/>
                <w:w w:val="99"/>
              </w:rPr>
              <w:t>VOTES</w:t>
            </w:r>
          </w:p>
        </w:tc>
      </w:tr>
      <w:tr>
        <w:trPr>
          <w:trHeight w:val="254"/>
        </w:trPr>
        <w:tc>
          <w:tcPr>
            <w:tcW w:w="1120" w:type="dxa"/>
            <w:vAlign w:val="bottom"/>
          </w:tcPr>
          <w:p>
            <w:pPr>
              <w:spacing w:after="0"/>
              <w:rPr>
                <w:sz w:val="22"/>
                <w:szCs w:val="22"/>
                <w:color w:val="auto"/>
              </w:rPr>
            </w:pP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196,926,657</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9,343,837</w:t>
            </w:r>
          </w:p>
        </w:tc>
        <w:tc>
          <w:tcPr>
            <w:tcW w:w="8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319,812</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22,436,080</w:t>
            </w:r>
          </w:p>
        </w:tc>
        <w:tc>
          <w:tcPr>
            <w:tcW w:w="4100" w:type="dxa"/>
            <w:vAlign w:val="bottom"/>
          </w:tcPr>
          <w:p>
            <w:pPr>
              <w:spacing w:after="0"/>
              <w:rPr>
                <w:sz w:val="22"/>
                <w:szCs w:val="22"/>
                <w:color w:val="auto"/>
              </w:rPr>
            </w:pPr>
          </w:p>
        </w:tc>
      </w:tr>
      <w:tr>
        <w:trPr>
          <w:trHeight w:val="1182"/>
        </w:trPr>
        <w:tc>
          <w:tcPr>
            <w:tcW w:w="1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ind w:left="1120" w:right="40" w:hanging="318"/>
        <w:spacing w:after="0" w:line="287" w:lineRule="auto"/>
        <w:tabs>
          <w:tab w:leader="none" w:pos="1121"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on an advisory basis, of the compensation of Exelixis’ named executive officers, as disclosed in the Proxy Statement (Say on Pay): Exelixis stockholders approved the Say on Pay proposal.</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BROKER NON-</w:t>
            </w:r>
          </w:p>
        </w:tc>
      </w:tr>
      <w:tr>
        <w:trPr>
          <w:trHeight w:val="240"/>
        </w:trPr>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FOR</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AGAINST</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ABSTAIN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9"/>
              </w:rPr>
              <w:t>VOTES</w:t>
            </w:r>
          </w:p>
        </w:tc>
      </w:tr>
      <w:tr>
        <w:trPr>
          <w:trHeight w:val="254"/>
        </w:trPr>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163,104,135</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43,156,553</w:t>
            </w:r>
          </w:p>
        </w:tc>
        <w:tc>
          <w:tcPr>
            <w:tcW w:w="8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329,618</w:t>
            </w:r>
          </w:p>
        </w:tc>
        <w:tc>
          <w:tcPr>
            <w:tcW w:w="100" w:type="dxa"/>
            <w:vAlign w:val="bottom"/>
            <w:tcBorders>
              <w:top w:val="single" w:sz="8" w:color="CCEEFF"/>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22,436,080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Exhibit</w:t>
            </w:r>
          </w:p>
        </w:tc>
        <w:tc>
          <w:tcPr>
            <w:tcW w:w="20" w:type="dxa"/>
            <w:vAlign w:val="bottom"/>
          </w:tcPr>
          <w:p>
            <w:pPr>
              <w:spacing w:after="0"/>
              <w:rPr>
                <w:sz w:val="24"/>
                <w:szCs w:val="24"/>
                <w:color w:val="auto"/>
              </w:rPr>
            </w:pPr>
          </w:p>
        </w:tc>
        <w:tc>
          <w:tcPr>
            <w:tcW w:w="4320" w:type="dxa"/>
            <w:vAlign w:val="bottom"/>
            <w:gridSpan w:val="3"/>
            <w:vMerge w:val="restart"/>
          </w:tcPr>
          <w:p>
            <w:pPr>
              <w:ind w:left="1280"/>
              <w:spacing w:after="0"/>
              <w:rPr>
                <w:sz w:val="20"/>
                <w:szCs w:val="20"/>
                <w:color w:val="auto"/>
              </w:rPr>
            </w:pPr>
            <w:r>
              <w:rPr>
                <w:rFonts w:ascii="Arial" w:cs="Arial" w:eastAsia="Arial" w:hAnsi="Arial"/>
                <w:sz w:val="18"/>
                <w:szCs w:val="18"/>
                <w:b w:val="1"/>
                <w:bCs w:val="1"/>
                <w:color w:val="auto"/>
              </w:rPr>
              <w:t>Exhibit Description</w:t>
            </w:r>
          </w:p>
        </w:tc>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21"/>
                <w:szCs w:val="21"/>
                <w:color w:val="auto"/>
              </w:rPr>
            </w:pPr>
          </w:p>
        </w:tc>
        <w:tc>
          <w:tcPr>
            <w:tcW w:w="4320" w:type="dxa"/>
            <w:vAlign w:val="bottom"/>
            <w:gridSpan w:val="3"/>
            <w:vMerge w:val="continue"/>
          </w:tcPr>
          <w:p>
            <w:pPr>
              <w:spacing w:after="0"/>
              <w:rPr>
                <w:sz w:val="21"/>
                <w:szCs w:val="21"/>
                <w:color w:val="auto"/>
              </w:rPr>
            </w:pPr>
          </w:p>
        </w:tc>
        <w:tc>
          <w:tcPr>
            <w:tcW w:w="5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18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Exelixis, Inc. 2017 Equity Incentive Plan</w:t>
            </w: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jc w:val="right"/>
              <w:ind w:right="310"/>
              <w:spacing w:after="0" w:line="19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3"/>
          </w:tcPr>
          <w:p>
            <w:pPr>
              <w:spacing w:after="0" w:line="196" w:lineRule="exact"/>
              <w:rPr>
                <w:sz w:val="20"/>
                <w:szCs w:val="20"/>
                <w:color w:val="auto"/>
              </w:rPr>
            </w:pPr>
            <w:r>
              <w:rPr>
                <w:rFonts w:ascii="Arial" w:cs="Arial" w:eastAsia="Arial" w:hAnsi="Arial"/>
                <w:sz w:val="18"/>
                <w:szCs w:val="18"/>
                <w:color w:val="auto"/>
              </w:rPr>
              <w:t>Cover Page Interactive Data File</w:t>
            </w:r>
          </w:p>
        </w:tc>
        <w:tc>
          <w:tcPr>
            <w:tcW w:w="56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The cover page interactive data file does not appear in the</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Interactive Data File because its XBRL tags are embedded within the</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gridSpan w:val="2"/>
          </w:tcPr>
          <w:p>
            <w:pPr>
              <w:ind w:left="20"/>
              <w:spacing w:after="0"/>
              <w:rPr>
                <w:sz w:val="20"/>
                <w:szCs w:val="20"/>
                <w:color w:val="auto"/>
              </w:rPr>
            </w:pPr>
            <w:r>
              <w:rPr>
                <w:rFonts w:ascii="Arial" w:cs="Arial" w:eastAsia="Arial" w:hAnsi="Arial"/>
                <w:sz w:val="18"/>
                <w:szCs w:val="18"/>
                <w:color w:val="auto"/>
              </w:rPr>
              <w:t>Inline XBRL document.</w:t>
            </w:r>
          </w:p>
        </w:tc>
        <w:tc>
          <w:tcPr>
            <w:tcW w:w="0" w:type="dxa"/>
            <w:vAlign w:val="bottom"/>
          </w:tcPr>
          <w:p>
            <w:pPr>
              <w:spacing w:after="0"/>
              <w:rPr>
                <w:sz w:val="1"/>
                <w:szCs w:val="1"/>
                <w:color w:val="auto"/>
              </w:rPr>
            </w:pPr>
          </w:p>
        </w:tc>
      </w:tr>
      <w:tr>
        <w:trPr>
          <w:trHeight w:val="1658"/>
        </w:trPr>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60"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3220" w:type="dxa"/>
        <w:tblCellMar>
          <w:top w:w="0" w:type="dxa"/>
          <w:left w:w="0" w:type="dxa"/>
          <w:bottom w:w="0" w:type="dxa"/>
          <w:right w:w="0" w:type="dxa"/>
        </w:tblCellMar>
      </w:tblPr>
      <w:tr>
        <w:trPr>
          <w:trHeight w:val="239"/>
        </w:trPr>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XELIXIS,</w:t>
            </w:r>
            <w:r>
              <w:rPr>
                <w:rFonts w:ascii="Arial" w:cs="Arial" w:eastAsia="Arial" w:hAnsi="Arial"/>
                <w:sz w:val="18"/>
                <w:szCs w:val="18"/>
                <w:color w:val="auto"/>
              </w:rPr>
              <w:t xml:space="preserve"> I</w:t>
            </w:r>
            <w:r>
              <w:rPr>
                <w:rFonts w:ascii="Arial" w:cs="Arial" w:eastAsia="Arial" w:hAnsi="Arial"/>
                <w:sz w:val="14"/>
                <w:szCs w:val="14"/>
                <w:color w:val="auto"/>
              </w:rPr>
              <w:t>NC.</w:t>
            </w:r>
          </w:p>
        </w:tc>
      </w:tr>
      <w:tr>
        <w:trPr>
          <w:trHeight w:val="509"/>
        </w:trPr>
        <w:tc>
          <w:tcPr>
            <w:tcW w:w="3560" w:type="dxa"/>
            <w:vAlign w:val="bottom"/>
            <w:gridSpan w:val="2"/>
          </w:tcPr>
          <w:p>
            <w:pPr>
              <w:jc w:val="center"/>
              <w:ind w:right="1320"/>
              <w:spacing w:after="0"/>
              <w:rPr>
                <w:sz w:val="20"/>
                <w:szCs w:val="20"/>
                <w:color w:val="auto"/>
              </w:rPr>
            </w:pPr>
            <w:r>
              <w:rPr>
                <w:rFonts w:ascii="Arial" w:cs="Arial" w:eastAsia="Arial" w:hAnsi="Arial"/>
                <w:sz w:val="18"/>
                <w:szCs w:val="18"/>
                <w:color w:val="auto"/>
                <w:w w:val="98"/>
              </w:rPr>
              <w:t>May 29, 2026</w:t>
            </w: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/s/ Brenda J. Hefti</w:t>
            </w:r>
          </w:p>
        </w:tc>
      </w:tr>
      <w:tr>
        <w:trPr>
          <w:trHeight w:val="218"/>
        </w:trPr>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1320" w:type="dxa"/>
            <w:vAlign w:val="bottom"/>
          </w:tcPr>
          <w:p>
            <w:pPr>
              <w:spacing w:after="0"/>
              <w:rPr>
                <w:sz w:val="18"/>
                <w:szCs w:val="18"/>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Brenda J. Hefti</w:t>
            </w:r>
          </w:p>
        </w:tc>
      </w:tr>
      <w:tr>
        <w:trPr>
          <w:trHeight w:val="239"/>
        </w:trPr>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Senior Vice President and General Counsel</w:t>
            </w:r>
          </w:p>
        </w:tc>
      </w:tr>
    </w:tbl>
    <w:p>
      <w:pPr>
        <w:sectPr>
          <w:pgSz w:w="11900" w:h="16838" w:orient="portrait"/>
          <w:cols w:equalWidth="0" w:num="1">
            <w:col w:w="11240"/>
          </w:cols>
          <w:pgMar w:left="320" w:top="109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Exelixis, Inc.</w:t>
      </w:r>
    </w:p>
    <w:p>
      <w:pPr>
        <w:spacing w:after="0" w:line="2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2017 Equity Incentive Plan</w:t>
      </w:r>
    </w:p>
    <w:p>
      <w:pPr>
        <w:spacing w:after="0" w:line="22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Adopted by the Board of Directors: February 23, 2017</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by the Compensation Committee: March 22, 2017</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Approved by the Stockholders: May 24, 2017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by the Company: December 18, 2017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by the Compensation Committee: March 18, 2020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Approved by the Stockholders: May 20, 2020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by the Board of Directors: April 1, 2022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Approved by the Stockholders: May 25,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by the Board of Directors: April 6, 2026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Approved by the Stockholders: May 26, 2026</w:t>
      </w:r>
    </w:p>
    <w:p>
      <w:pPr>
        <w:spacing w:after="0" w:line="192"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60" w:lineRule="auto"/>
        <w:tabs>
          <w:tab w:leader="none" w:pos="1208" w:val="left"/>
        </w:tabs>
        <w:numPr>
          <w:ilvl w:val="1"/>
          <w:numId w:val="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Successor to and Continuation of 2014 Plan</w:t>
      </w:r>
      <w:r>
        <w:rPr>
          <w:rFonts w:ascii="Times New Roman" w:cs="Times New Roman" w:eastAsia="Times New Roman" w:hAnsi="Times New Roman"/>
          <w:sz w:val="21"/>
          <w:szCs w:val="21"/>
          <w:color w:val="auto"/>
        </w:rPr>
        <w:t>. The Plan is intended as the successor to and continuation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Exelixis, Inc. 2014 Equity Incentive Plan (the “</w:t>
      </w:r>
      <w:r>
        <w:rPr>
          <w:rFonts w:ascii="Times New Roman" w:cs="Times New Roman" w:eastAsia="Times New Roman" w:hAnsi="Times New Roman"/>
          <w:sz w:val="21"/>
          <w:szCs w:val="21"/>
          <w:b w:val="1"/>
          <w:bCs w:val="1"/>
          <w:i w:val="1"/>
          <w:iCs w:val="1"/>
          <w:color w:val="auto"/>
        </w:rPr>
        <w:t>2014 Plan</w:t>
      </w:r>
      <w:r>
        <w:rPr>
          <w:rFonts w:ascii="Times New Roman" w:cs="Times New Roman" w:eastAsia="Times New Roman" w:hAnsi="Times New Roman"/>
          <w:sz w:val="21"/>
          <w:szCs w:val="21"/>
          <w:color w:val="auto"/>
        </w:rPr>
        <w:t>”). Following the Effective Date, no additional stock awards may be granted under the 2014 Plan. Any unallocated shares remaining available for grant under the 2014 Plan as of 12:01 a.m. Pacific time on the Effective Date (the “</w:t>
      </w:r>
      <w:r>
        <w:rPr>
          <w:rFonts w:ascii="Times New Roman" w:cs="Times New Roman" w:eastAsia="Times New Roman" w:hAnsi="Times New Roman"/>
          <w:sz w:val="21"/>
          <w:szCs w:val="21"/>
          <w:b w:val="1"/>
          <w:bCs w:val="1"/>
          <w:i w:val="1"/>
          <w:iCs w:val="1"/>
          <w:color w:val="auto"/>
        </w:rPr>
        <w:t>2014 Plan’s Available Reserve</w:t>
      </w:r>
      <w:r>
        <w:rPr>
          <w:rFonts w:ascii="Times New Roman" w:cs="Times New Roman" w:eastAsia="Times New Roman" w:hAnsi="Times New Roman"/>
          <w:sz w:val="21"/>
          <w:szCs w:val="21"/>
          <w:color w:val="auto"/>
        </w:rPr>
        <w:t>”) will cease to be available under the 2014 Plan at such time and will be added to the Share Reserve (as further described in Section 3(a) below) and be then immediately available for grant and issuance pursuant to Stock Awards granted under the Plan. In addition, from and after 12:01 a.m. Pacific time on the Effective Date, all outstanding stock awards granted under the 2014 Plan, the Exelixis, Inc. 2000 Equity Incentive Plan, as amended and restated (the “</w:t>
      </w:r>
      <w:r>
        <w:rPr>
          <w:rFonts w:ascii="Times New Roman" w:cs="Times New Roman" w:eastAsia="Times New Roman" w:hAnsi="Times New Roman"/>
          <w:sz w:val="21"/>
          <w:szCs w:val="21"/>
          <w:b w:val="1"/>
          <w:bCs w:val="1"/>
          <w:i w:val="1"/>
          <w:iCs w:val="1"/>
          <w:color w:val="auto"/>
        </w:rPr>
        <w:t>2000 Plan</w:t>
      </w:r>
      <w:r>
        <w:rPr>
          <w:rFonts w:ascii="Times New Roman" w:cs="Times New Roman" w:eastAsia="Times New Roman" w:hAnsi="Times New Roman"/>
          <w:sz w:val="21"/>
          <w:szCs w:val="21"/>
          <w:color w:val="auto"/>
        </w:rPr>
        <w:t>”), the Exelixis, Inc. 2000 Non-Employee Directors’ Stock Option Plan (the “</w:t>
      </w:r>
      <w:r>
        <w:rPr>
          <w:rFonts w:ascii="Times New Roman" w:cs="Times New Roman" w:eastAsia="Times New Roman" w:hAnsi="Times New Roman"/>
          <w:sz w:val="21"/>
          <w:szCs w:val="21"/>
          <w:b w:val="1"/>
          <w:bCs w:val="1"/>
          <w:i w:val="1"/>
          <w:iCs w:val="1"/>
          <w:color w:val="auto"/>
        </w:rPr>
        <w:t>2000 Non-Employee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Directors’ Plan</w:t>
      </w:r>
      <w:r>
        <w:rPr>
          <w:rFonts w:ascii="Times New Roman" w:cs="Times New Roman" w:eastAsia="Times New Roman" w:hAnsi="Times New Roman"/>
          <w:sz w:val="21"/>
          <w:szCs w:val="21"/>
          <w:color w:val="auto"/>
        </w:rPr>
        <w:t>”), the Exelixis, Inc. 2011 Equity Incentive Plan (the “</w:t>
      </w:r>
      <w:r>
        <w:rPr>
          <w:rFonts w:ascii="Times New Roman" w:cs="Times New Roman" w:eastAsia="Times New Roman" w:hAnsi="Times New Roman"/>
          <w:sz w:val="21"/>
          <w:szCs w:val="21"/>
          <w:b w:val="1"/>
          <w:bCs w:val="1"/>
          <w:i w:val="1"/>
          <w:iCs w:val="1"/>
          <w:color w:val="auto"/>
        </w:rPr>
        <w:t>2011 Plan</w:t>
      </w:r>
      <w:r>
        <w:rPr>
          <w:rFonts w:ascii="Times New Roman" w:cs="Times New Roman" w:eastAsia="Times New Roman" w:hAnsi="Times New Roman"/>
          <w:sz w:val="21"/>
          <w:szCs w:val="21"/>
          <w:color w:val="auto"/>
        </w:rPr>
        <w:t>”), and the Exelixis, Inc. 2016 Inducement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Award Plan (the “</w:t>
      </w:r>
      <w:r>
        <w:rPr>
          <w:rFonts w:ascii="Times New Roman" w:cs="Times New Roman" w:eastAsia="Times New Roman" w:hAnsi="Times New Roman"/>
          <w:sz w:val="21"/>
          <w:szCs w:val="21"/>
          <w:b w:val="1"/>
          <w:bCs w:val="1"/>
          <w:i w:val="1"/>
          <w:iCs w:val="1"/>
          <w:color w:val="auto"/>
        </w:rPr>
        <w:t>2016 Inducement Plan</w:t>
      </w:r>
      <w:r>
        <w:rPr>
          <w:rFonts w:ascii="Times New Roman" w:cs="Times New Roman" w:eastAsia="Times New Roman" w:hAnsi="Times New Roman"/>
          <w:sz w:val="21"/>
          <w:szCs w:val="21"/>
          <w:color w:val="auto"/>
        </w:rPr>
        <w:t xml:space="preserve">”) will remain subject to the terms of the 2014 Plan, the 2000 Plan, the 2000 Non-Employee Directors’ Plan, the 2011 Plan or the 2016 Inducement Plan, as applicable;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any shares subject to outstanding stock awards granted under the 2014 Plan, the 2000 Plan, the 2000 Non-Employee Directors’ Plan, the 2011 Plan or the 2016 Inducement Plan that (i) expire or terminate for any reason prior to exercise or settlement, (ii) are forfeited, cancelled or otherwise returned to the Company because of the failure to meet a contingency or condition required for the vesting of such shares, or (iii) other than with respect to outstanding options and stock appreciation rights granted under the 2014 Plan, the 2000 Plan, the 2000 Nonemployee Directors’ Plan, the 2011 Plan or the 2016 Inducement Plan with respect to which the exercise or strike price is at least one hundred percent (100%) of the Fair Market Value of the Common Stock subject to the option or stock appreciation right on the date of grant (the “</w:t>
      </w:r>
      <w:r>
        <w:rPr>
          <w:rFonts w:ascii="Times New Roman" w:cs="Times New Roman" w:eastAsia="Times New Roman" w:hAnsi="Times New Roman"/>
          <w:sz w:val="21"/>
          <w:szCs w:val="21"/>
          <w:b w:val="1"/>
          <w:bCs w:val="1"/>
          <w:i w:val="1"/>
          <w:iCs w:val="1"/>
          <w:color w:val="auto"/>
        </w:rPr>
        <w:t>Prior Plans’ Appreciation Awards</w:t>
      </w:r>
      <w:r>
        <w:rPr>
          <w:rFonts w:ascii="Times New Roman" w:cs="Times New Roman" w:eastAsia="Times New Roman" w:hAnsi="Times New Roman"/>
          <w:sz w:val="21"/>
          <w:szCs w:val="21"/>
          <w:color w:val="auto"/>
        </w:rPr>
        <w:t>”), are reacquired or withheld (or not issued) by the Company to satisfy a tax withholding obligation in connection with a stock award (collectively, the “</w:t>
      </w:r>
      <w:r>
        <w:rPr>
          <w:rFonts w:ascii="Times New Roman" w:cs="Times New Roman" w:eastAsia="Times New Roman" w:hAnsi="Times New Roman"/>
          <w:sz w:val="21"/>
          <w:szCs w:val="21"/>
          <w:b w:val="1"/>
          <w:bCs w:val="1"/>
          <w:i w:val="1"/>
          <w:iCs w:val="1"/>
          <w:color w:val="auto"/>
        </w:rPr>
        <w:t>Prior Plans’ Returning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will immediately be added to the Share Reserve (as further described in Section 3(a) below) as and</w:t>
      </w:r>
    </w:p>
    <w:p>
      <w:pPr>
        <w:sectPr>
          <w:pgSz w:w="11900" w:h="16838" w:orient="portrait"/>
          <w:cols w:equalWidth="0" w:num="1">
            <w:col w:w="11240"/>
          </w:cols>
          <w:pgMar w:left="320" w:top="1418" w:right="339" w:bottom="1440" w:gutter="0" w:footer="0" w:header="0"/>
        </w:sectPr>
      </w:pPr>
    </w:p>
    <w:bookmarkStart w:id="5" w:name="page6"/>
    <w:bookmarkEnd w:id="5"/>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when such shares become Prior Plans’ Returning Shares and become available for issuance pursuant to Awards granted hereunder. All Awards granted on or after 12:01 a.m. Pacific time on the Effective Date will be subject to the terms of this Plan, as amended from time to time.</w:t>
      </w:r>
    </w:p>
    <w:p>
      <w:pPr>
        <w:spacing w:after="0" w:line="182" w:lineRule="exact"/>
        <w:rPr>
          <w:sz w:val="20"/>
          <w:szCs w:val="20"/>
          <w:color w:val="auto"/>
        </w:rPr>
      </w:pPr>
    </w:p>
    <w:p>
      <w:pPr>
        <w:ind w:left="1260" w:hanging="604"/>
        <w:spacing w:after="0"/>
        <w:tabs>
          <w:tab w:leader="none" w:pos="1260"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Eligible Award Recipients</w:t>
      </w:r>
      <w:r>
        <w:rPr>
          <w:rFonts w:ascii="Times New Roman" w:cs="Times New Roman" w:eastAsia="Times New Roman" w:hAnsi="Times New Roman"/>
          <w:sz w:val="22"/>
          <w:szCs w:val="22"/>
          <w:color w:val="auto"/>
        </w:rPr>
        <w:t>. Subject to Section 4, Employees, Directors and Consultants are eligible to receive</w:t>
      </w:r>
    </w:p>
    <w:p>
      <w:pPr>
        <w:spacing w:after="0" w:line="3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Awards.</w:t>
      </w:r>
    </w:p>
    <w:p>
      <w:pPr>
        <w:spacing w:after="0" w:line="191" w:lineRule="exact"/>
        <w:rPr>
          <w:rFonts w:ascii="Times New Roman" w:cs="Times New Roman" w:eastAsia="Times New Roman" w:hAnsi="Times New Roman"/>
          <w:sz w:val="22"/>
          <w:szCs w:val="22"/>
          <w:b w:val="1"/>
          <w:bCs w:val="1"/>
          <w:color w:val="auto"/>
        </w:rPr>
      </w:pPr>
    </w:p>
    <w:p>
      <w:pPr>
        <w:ind w:left="1160" w:hanging="504"/>
        <w:spacing w:after="0"/>
        <w:tabs>
          <w:tab w:leader="none" w:pos="1160"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Available Awards</w:t>
      </w:r>
      <w:r>
        <w:rPr>
          <w:rFonts w:ascii="Times New Roman" w:cs="Times New Roman" w:eastAsia="Times New Roman" w:hAnsi="Times New Roman"/>
          <w:sz w:val="22"/>
          <w:szCs w:val="22"/>
          <w:color w:val="auto"/>
        </w:rPr>
        <w:t>. The Plan provides for the grant of the following types of Awards: (i) Incentive Stock Options,</w:t>
      </w:r>
    </w:p>
    <w:p>
      <w:pPr>
        <w:spacing w:after="0" w:line="31" w:lineRule="exact"/>
        <w:rPr>
          <w:rFonts w:ascii="Times New Roman" w:cs="Times New Roman" w:eastAsia="Times New Roman" w:hAnsi="Times New Roman"/>
          <w:sz w:val="22"/>
          <w:szCs w:val="22"/>
          <w:b w:val="1"/>
          <w:b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Nonstatutory Stock Options, (iii) Stock Appreciation Rights, (iv) Restricted Stock Awards, (v) Restricted Stock Unit Awards,</w:t>
      </w:r>
    </w:p>
    <w:p>
      <w:pPr>
        <w:spacing w:after="0" w:line="15"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Stock Awards, (vii) Performance Cash Awards, and (viii) Other Stock Awards.</w:t>
      </w:r>
    </w:p>
    <w:p>
      <w:pPr>
        <w:spacing w:after="0" w:line="205" w:lineRule="exact"/>
        <w:rPr>
          <w:rFonts w:ascii="Times New Roman" w:cs="Times New Roman" w:eastAsia="Times New Roman" w:hAnsi="Times New Roman"/>
          <w:sz w:val="22"/>
          <w:szCs w:val="22"/>
          <w:color w:val="auto"/>
        </w:rPr>
      </w:pPr>
    </w:p>
    <w:p>
      <w:pPr>
        <w:jc w:val="both"/>
        <w:ind w:firstLine="656"/>
        <w:spacing w:after="0" w:line="253" w:lineRule="auto"/>
        <w:tabs>
          <w:tab w:leader="none" w:pos="1168"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r>
        <w:rPr>
          <w:rFonts w:ascii="Times New Roman" w:cs="Times New Roman" w:eastAsia="Times New Roman" w:hAnsi="Times New Roman"/>
          <w:sz w:val="22"/>
          <w:szCs w:val="22"/>
          <w:color w:val="auto"/>
        </w:rPr>
        <w:t>. The Plan, through the granting of Awards, is intended to help the Company and any Affiliate secure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retain the services of 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175"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219" w:lineRule="exact"/>
        <w:rPr>
          <w:rFonts w:ascii="Times New Roman" w:cs="Times New Roman" w:eastAsia="Times New Roman" w:hAnsi="Times New Roman"/>
          <w:sz w:val="22"/>
          <w:szCs w:val="22"/>
          <w:b w:val="1"/>
          <w:bCs w:val="1"/>
          <w:color w:val="auto"/>
        </w:rPr>
      </w:pPr>
    </w:p>
    <w:p>
      <w:pPr>
        <w:ind w:right="20" w:firstLine="656"/>
        <w:spacing w:after="0" w:line="287" w:lineRule="auto"/>
        <w:tabs>
          <w:tab w:leader="none" w:pos="1131"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by Board</w:t>
      </w:r>
      <w:r>
        <w:rPr>
          <w:rFonts w:ascii="Times New Roman" w:cs="Times New Roman" w:eastAsia="Times New Roman" w:hAnsi="Times New Roman"/>
          <w:sz w:val="22"/>
          <w:szCs w:val="22"/>
          <w:color w:val="auto"/>
        </w:rPr>
        <w:t>. The Board will administer the Plan. The Board may delegate administration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Committee or Committees, as provided in Section 2(c).</w:t>
      </w:r>
    </w:p>
    <w:p>
      <w:pPr>
        <w:spacing w:after="0" w:line="137"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1"/>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Powers of Board</w:t>
      </w:r>
      <w:r>
        <w:rPr>
          <w:rFonts w:ascii="Times New Roman" w:cs="Times New Roman" w:eastAsia="Times New Roman" w:hAnsi="Times New Roman"/>
          <w:sz w:val="21"/>
          <w:szCs w:val="21"/>
          <w:color w:val="auto"/>
        </w:rPr>
        <w:t>. The Board will have the power, subject to, and within the limitations of, the express provisions of</w:t>
      </w:r>
    </w:p>
    <w:p>
      <w:pPr>
        <w:spacing w:after="0" w:line="43"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 Plan:</w:t>
      </w:r>
    </w:p>
    <w:p>
      <w:pPr>
        <w:spacing w:after="0" w:line="195" w:lineRule="exact"/>
        <w:rPr>
          <w:rFonts w:ascii="Times New Roman" w:cs="Times New Roman" w:eastAsia="Times New Roman" w:hAnsi="Times New Roman"/>
          <w:sz w:val="21"/>
          <w:szCs w:val="21"/>
          <w:b w:val="1"/>
          <w:bCs w:val="1"/>
          <w:color w:val="auto"/>
        </w:rPr>
      </w:pPr>
    </w:p>
    <w:p>
      <w:pPr>
        <w:jc w:val="both"/>
        <w:ind w:firstLine="1304"/>
        <w:spacing w:after="0" w:line="256" w:lineRule="auto"/>
        <w:tabs>
          <w:tab w:leader="none" w:pos="1729" w:val="left"/>
        </w:tabs>
        <w:numPr>
          <w:ilvl w:val="2"/>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76"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776" w:val="left"/>
        </w:tabs>
        <w:numPr>
          <w:ilvl w:val="2"/>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spacing w:after="0" w:line="176" w:lineRule="exact"/>
        <w:rPr>
          <w:rFonts w:ascii="Times New Roman" w:cs="Times New Roman" w:eastAsia="Times New Roman" w:hAnsi="Times New Roman"/>
          <w:sz w:val="22"/>
          <w:szCs w:val="22"/>
          <w:b w:val="1"/>
          <w:bCs w:val="1"/>
          <w:color w:val="auto"/>
        </w:rPr>
      </w:pPr>
    </w:p>
    <w:p>
      <w:pPr>
        <w:ind w:left="1840" w:hanging="536"/>
        <w:spacing w:after="0"/>
        <w:tabs>
          <w:tab w:leader="none" w:pos="1840" w:val="left"/>
        </w:tabs>
        <w:numPr>
          <w:ilvl w:val="2"/>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settle all controversies regarding the Plan and Awards granted under it.</w:t>
      </w:r>
    </w:p>
    <w:p>
      <w:pPr>
        <w:spacing w:after="0" w:line="219" w:lineRule="exact"/>
        <w:rPr>
          <w:rFonts w:ascii="Times New Roman" w:cs="Times New Roman" w:eastAsia="Times New Roman" w:hAnsi="Times New Roman"/>
          <w:sz w:val="22"/>
          <w:szCs w:val="22"/>
          <w:b w:val="1"/>
          <w:bCs w:val="1"/>
          <w:color w:val="auto"/>
        </w:rPr>
      </w:pPr>
    </w:p>
    <w:p>
      <w:pPr>
        <w:ind w:right="20" w:firstLine="1304"/>
        <w:spacing w:after="0" w:line="271" w:lineRule="auto"/>
        <w:tabs>
          <w:tab w:leader="none" w:pos="1824" w:val="left"/>
        </w:tabs>
        <w:numPr>
          <w:ilvl w:val="2"/>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accelerate, in whole or in part, the time at which an Award may be exercised or vest (or the time at which cash or shares of Common Stock may be issued in settlement thereof).</w:t>
      </w:r>
    </w:p>
    <w:p>
      <w:pPr>
        <w:spacing w:after="0" w:line="157"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12" w:val="left"/>
        </w:tabs>
        <w:numPr>
          <w:ilvl w:val="2"/>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suspend or terminate the Plan at any time. Except as otherwise provided in the Plan or an Award Agreement, suspension or termination of the Plan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materially impair a Participant’s rights under his or her then-outstanding Award without his or her written consent except as provided in subsection (viii) below.</w:t>
      </w:r>
    </w:p>
    <w:p>
      <w:pPr>
        <w:spacing w:after="0" w:line="158" w:lineRule="exact"/>
        <w:rPr>
          <w:sz w:val="20"/>
          <w:szCs w:val="20"/>
          <w:color w:val="auto"/>
        </w:rPr>
      </w:pPr>
    </w:p>
    <w:p>
      <w:pPr>
        <w:jc w:val="both"/>
        <w:ind w:firstLine="1304"/>
        <w:spacing w:after="0" w:line="248" w:lineRule="auto"/>
        <w:tabs>
          <w:tab w:leader="none" w:pos="1837"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or (E) materially expands the types of Awards available for issuance under the Plan. Except as otherwise provided in the Plan (including Section 2(b)(viii)) or an Award Agreement, no amendment of the Plan will materially impair a Participant’s rights under an outstanding Award without the Participant’s written consent.</w:t>
      </w:r>
    </w:p>
    <w:p>
      <w:pPr>
        <w:spacing w:after="0" w:line="197"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11"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submit any amendment to the Plan for stockholder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61" w:lineRule="auto"/>
        <w:tabs>
          <w:tab w:leader="none" w:pos="1957"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98" w:lineRule="exact"/>
        <w:rPr>
          <w:sz w:val="20"/>
          <w:szCs w:val="20"/>
          <w:color w:val="auto"/>
        </w:rPr>
      </w:pPr>
    </w:p>
    <w:p>
      <w:pPr>
        <w:ind w:firstLine="1304"/>
        <w:spacing w:after="0" w:line="271" w:lineRule="auto"/>
        <w:tabs>
          <w:tab w:leader="none" w:pos="1864" w:val="left"/>
        </w:tabs>
        <w:numPr>
          <w:ilvl w:val="1"/>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764" w:val="left"/>
        </w:tabs>
        <w:numPr>
          <w:ilvl w:val="1"/>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72"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 to Committee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63" w:lineRule="auto"/>
        <w:tabs>
          <w:tab w:leader="none" w:pos="1918" w:val="left"/>
        </w:tabs>
        <w:numPr>
          <w:ilvl w:val="1"/>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The Board may delegate some or all of the administration of the Plan to a Committee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73" w:lineRule="exact"/>
        <w:rPr>
          <w:rFonts w:ascii="Times New Roman" w:cs="Times New Roman" w:eastAsia="Times New Roman" w:hAnsi="Times New Roman"/>
          <w:sz w:val="21"/>
          <w:szCs w:val="21"/>
          <w:b w:val="1"/>
          <w:bCs w:val="1"/>
          <w:color w:val="auto"/>
        </w:rPr>
      </w:pPr>
    </w:p>
    <w:p>
      <w:pPr>
        <w:jc w:val="both"/>
        <w:ind w:firstLine="1304"/>
        <w:spacing w:after="0" w:line="257" w:lineRule="auto"/>
        <w:tabs>
          <w:tab w:leader="none" w:pos="1870"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162(m) and Rule 16b-3 Compliance. The Committee may consist solely of two or more Outside Directors, in accordance with Section 162(m) of the Code, or solely of two or more Non-Employee Directors, in accordance with Rule 16b-3.</w:t>
      </w:r>
    </w:p>
    <w:p>
      <w:pPr>
        <w:spacing w:after="0" w:line="182" w:lineRule="exact"/>
        <w:rPr>
          <w:rFonts w:ascii="Times New Roman" w:cs="Times New Roman" w:eastAsia="Times New Roman" w:hAnsi="Times New Roman"/>
          <w:sz w:val="22"/>
          <w:szCs w:val="22"/>
          <w:b w:val="1"/>
          <w:bCs w:val="1"/>
          <w:color w:val="auto"/>
        </w:rPr>
      </w:pPr>
    </w:p>
    <w:p>
      <w:pPr>
        <w:ind w:left="1200" w:hanging="544"/>
        <w:spacing w:after="0"/>
        <w:tabs>
          <w:tab w:leader="none" w:pos="120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 to an Officer</w:t>
      </w:r>
      <w:r>
        <w:rPr>
          <w:rFonts w:ascii="Times New Roman" w:cs="Times New Roman" w:eastAsia="Times New Roman" w:hAnsi="Times New Roman"/>
          <w:sz w:val="22"/>
          <w:szCs w:val="22"/>
          <w:color w:val="auto"/>
        </w:rPr>
        <w:t>. The Board may delegate to one or more Officers the authority to do one or both of the</w:t>
      </w:r>
    </w:p>
    <w:p>
      <w:pPr>
        <w:spacing w:after="0" w:line="31" w:lineRule="exact"/>
        <w:rPr>
          <w:rFonts w:ascii="Times New Roman" w:cs="Times New Roman" w:eastAsia="Times New Roman" w:hAnsi="Times New Roman"/>
          <w:sz w:val="22"/>
          <w:szCs w:val="22"/>
          <w:b w:val="1"/>
          <w:bCs w:val="1"/>
          <w:color w:val="auto"/>
        </w:rPr>
      </w:pPr>
    </w:p>
    <w:p>
      <w:pPr>
        <w:jc w:val="both"/>
        <w:spacing w:after="0" w:line="24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following: (i) designate 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Award Agreement most recently approved for use by the Committee or the Board, unless otherwise provided in the resolutions approving the delegation of authority. The Board may not delegate authority to an Officer who is acting solely in the capacity of an Officer (and not also as a Director) to determine the Fair Market Value pursuant to Section 13(w)(iii) below.</w:t>
      </w:r>
    </w:p>
    <w:p>
      <w:pPr>
        <w:spacing w:after="0" w:line="185" w:lineRule="exact"/>
        <w:rPr>
          <w:rFonts w:ascii="Times New Roman" w:cs="Times New Roman" w:eastAsia="Times New Roman" w:hAnsi="Times New Roman"/>
          <w:sz w:val="22"/>
          <w:szCs w:val="22"/>
          <w:b w:val="1"/>
          <w:bCs w:val="1"/>
          <w:color w:val="auto"/>
        </w:rPr>
      </w:pPr>
    </w:p>
    <w:p>
      <w:pPr>
        <w:ind w:firstLine="656"/>
        <w:spacing w:after="0" w:line="287" w:lineRule="auto"/>
        <w:tabs>
          <w:tab w:leader="none" w:pos="115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Board’s Decision</w:t>
      </w:r>
      <w:r>
        <w:rPr>
          <w:rFonts w:ascii="Times New Roman" w:cs="Times New Roman" w:eastAsia="Times New Roman" w:hAnsi="Times New Roman"/>
          <w:sz w:val="22"/>
          <w:szCs w:val="22"/>
          <w:color w:val="auto"/>
        </w:rPr>
        <w:t>. All determinations, interpretations and constructions made by the Board in good faith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 be subject to review by any person and will be final, binding and conclusive on all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ind w:left="1080" w:hanging="424"/>
        <w:spacing w:after="0"/>
        <w:tabs>
          <w:tab w:leader="none" w:pos="1080" w:val="left"/>
        </w:tabs>
        <w:numPr>
          <w:ilvl w:val="1"/>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Repricing; Cancellation and Re-Grant of Awards</w:t>
      </w:r>
      <w:r>
        <w:rPr>
          <w:rFonts w:ascii="Times New Roman" w:cs="Times New Roman" w:eastAsia="Times New Roman" w:hAnsi="Times New Roman"/>
          <w:sz w:val="21"/>
          <w:szCs w:val="21"/>
          <w:color w:val="auto"/>
        </w:rPr>
        <w:t>. Neither the Board nor any Committee will have the authority to</w:t>
      </w:r>
    </w:p>
    <w:p>
      <w:pPr>
        <w:spacing w:after="0" w:line="43" w:lineRule="exact"/>
        <w:rPr>
          <w:rFonts w:ascii="Times New Roman" w:cs="Times New Roman" w:eastAsia="Times New Roman" w:hAnsi="Times New Roman"/>
          <w:sz w:val="21"/>
          <w:szCs w:val="21"/>
          <w:b w:val="1"/>
          <w:bCs w:val="1"/>
          <w:color w:val="auto"/>
        </w:rPr>
      </w:pPr>
    </w:p>
    <w:p>
      <w:pPr>
        <w:jc w:val="both"/>
        <w:ind w:firstLine="8"/>
        <w:spacing w:after="0" w:line="249" w:lineRule="auto"/>
        <w:tabs>
          <w:tab w:leader="none" w:pos="26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exercise, purchase or strike price of any outstanding Option or SAR under the Plan, or (ii) cancel any outstanding Option or SAR that has an exercise price or strike price greater than the then-current Fair Market Value of the Common Stock in exchange for cash or other Awards under the Plan, unless the stockholders of the Company have approved such an action within 12 months prior to such an event.</w:t>
      </w:r>
    </w:p>
    <w:p>
      <w:pPr>
        <w:spacing w:after="0" w:line="177" w:lineRule="exact"/>
        <w:rPr>
          <w:rFonts w:ascii="Times New Roman" w:cs="Times New Roman" w:eastAsia="Times New Roman" w:hAnsi="Times New Roman"/>
          <w:sz w:val="22"/>
          <w:szCs w:val="22"/>
          <w:color w:val="auto"/>
        </w:rPr>
      </w:pPr>
    </w:p>
    <w:p>
      <w:pPr>
        <w:jc w:val="both"/>
        <w:ind w:firstLine="656"/>
        <w:spacing w:after="0" w:line="259" w:lineRule="auto"/>
        <w:tabs>
          <w:tab w:leader="none" w:pos="1125"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Minimum Vesting Requirements</w:t>
      </w:r>
      <w:r>
        <w:rPr>
          <w:rFonts w:ascii="Times New Roman" w:cs="Times New Roman" w:eastAsia="Times New Roman" w:hAnsi="Times New Roman"/>
          <w:sz w:val="22"/>
          <w:szCs w:val="22"/>
          <w:color w:val="auto"/>
        </w:rPr>
        <w:t>. No Award may vest until at least twelve (12) months following the date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Award;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shares of Common Stock up to five percent (5%) of the Share Reserve (as defined in Section 3(a)) may be issued pursuant to Awards which do not meet such vesting requirement.</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190"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Dividends and Dividend Equivalents</w:t>
      </w:r>
      <w:r>
        <w:rPr>
          <w:rFonts w:ascii="Times New Roman" w:cs="Times New Roman" w:eastAsia="Times New Roman" w:hAnsi="Times New Roman"/>
          <w:sz w:val="22"/>
          <w:szCs w:val="22"/>
          <w:color w:val="auto"/>
        </w:rPr>
        <w:t>. Dividends or dividend equivalents may be paid or credited, as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respect to any shares of Common Stock subject to an Award, as determined by the Board and contained in the applicable Award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185"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Subject to the Plan.</w:t>
      </w:r>
    </w:p>
    <w:p>
      <w:pPr>
        <w:spacing w:after="0" w:line="219"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Reserve</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729" w:val="left"/>
        </w:tabs>
        <w:numPr>
          <w:ilvl w:val="2"/>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Subject to Sections 3(b)(i) and 9(a) relating to Capitalization Adjustments, the aggregate number of shares of Common Stock that may be issued pursuant to Stock Awards from and after the Effective Date will not exceed (A) 75,953,064 shares (which number is the sum of (i) the number of shares (453,064) subject to the 2014 Plan’s Available Reserve, (ii) an additional 24,000,000 shares that were approved at the annual meeting of stockholders of the Company held in 2017, (iii) an additional 21,000,000 shares that were approved at the annual meeting of stockholders of the Company held in 2020, (iv) an additional 28,500,000 shares that were approved at the annual meeting of stockholders of the Company held in 2022, and (v) an additional 2,000,000 shares that were approved at the annual meeting of stockholders of the Company held in 2026),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Prior Plans’ Returning Shares, if any, which become available for issuance under this Plan from time to time (such aggregate number of shares described in (A) and (B) above, the “</w:t>
      </w:r>
      <w:r>
        <w:rPr>
          <w:rFonts w:ascii="Times New Roman" w:cs="Times New Roman" w:eastAsia="Times New Roman" w:hAnsi="Times New Roman"/>
          <w:sz w:val="22"/>
          <w:szCs w:val="22"/>
          <w:b w:val="1"/>
          <w:bCs w:val="1"/>
          <w:i w:val="1"/>
          <w:iCs w:val="1"/>
          <w:color w:val="auto"/>
        </w:rPr>
        <w:t>Share Reserve</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803" w:val="left"/>
        </w:tabs>
        <w:numPr>
          <w:ilvl w:val="2"/>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Company Guide Section 711 or other applicable rule, and such issuance will not reduce the number of shares available for issuance under the Plan.</w:t>
      </w:r>
    </w:p>
    <w:p>
      <w:pPr>
        <w:spacing w:after="0" w:line="158" w:lineRule="exact"/>
        <w:rPr>
          <w:sz w:val="20"/>
          <w:szCs w:val="20"/>
          <w:color w:val="auto"/>
        </w:rPr>
      </w:pPr>
    </w:p>
    <w:p>
      <w:pPr>
        <w:jc w:val="both"/>
        <w:ind w:firstLine="1304"/>
        <w:spacing w:after="0" w:line="252" w:lineRule="auto"/>
        <w:tabs>
          <w:tab w:leader="none" w:pos="1876"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3(b), the number of shares of Common Stock available for issuance under the Plan will be reduced by: (A) one share for each share of Common Stock issued pursuant to an Option or SAR with respect to which the exercise or strike price is at least 100% of the Fair Market Value of the Common Stock subject to the Option or SAR on the date of grant; (B) 1.5 shares for each share of Common Stock issued pursuant to a Full Value Award granted under the Plan prior to May 25, 2022; (C) two shares for each share of Common Stock issued pursuant to a Full Value Award granted under the Plan on or after May 25, 2022 and prior to May 26, 2026; and (D) one share for each share of Common Stock issued pursuant to a Full Value Award granted under the Plan on or after May 26, 2026.</w:t>
      </w:r>
    </w:p>
    <w:p>
      <w:pPr>
        <w:spacing w:after="0" w:line="175"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Reversion of Shares to the Share Reserve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60" w:lineRule="auto"/>
        <w:tabs>
          <w:tab w:leader="none" w:pos="1756" w:val="left"/>
        </w:tabs>
        <w:numPr>
          <w:ilvl w:val="1"/>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Shares Available For Subsequent Issuance</w:t>
      </w:r>
      <w:r>
        <w:rPr>
          <w:rFonts w:ascii="Times New Roman" w:cs="Times New Roman" w:eastAsia="Times New Roman" w:hAnsi="Times New Roman"/>
          <w:sz w:val="21"/>
          <w:szCs w:val="21"/>
          <w:color w:val="auto"/>
        </w:rPr>
        <w:t>. If (A) any shares of Common Stock subject to a Stock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not issued because such Stock Award or any portion thereof expires or otherwise terminates without all of the shares covered by such Stock Award having been issued or is settled in cash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Participant receives cash rather than stock), (B) any shares of Common Stock issued pursuant to a Stock Award are forfeited back to or repurchased by the Company because of the failure to meet a contingency or condition required for the vesting of such shares, or (C) with respect to a Full Value Award, any shares of Common Stock are reacquired or withheld (or not issued) by the Company to satisfy a tax withholding obligation in connection with such Full Value Award, such shares will again become available for issuance under the Plan (collectively, the “</w:t>
      </w:r>
      <w:r>
        <w:rPr>
          <w:rFonts w:ascii="Times New Roman" w:cs="Times New Roman" w:eastAsia="Times New Roman" w:hAnsi="Times New Roman"/>
          <w:sz w:val="21"/>
          <w:szCs w:val="21"/>
          <w:b w:val="1"/>
          <w:bCs w:val="1"/>
          <w:i w:val="1"/>
          <w:iCs w:val="1"/>
          <w:color w:val="auto"/>
        </w:rPr>
        <w:t>2017 Plan Returning Shares</w:t>
      </w:r>
      <w:r>
        <w:rPr>
          <w:rFonts w:ascii="Times New Roman" w:cs="Times New Roman" w:eastAsia="Times New Roman" w:hAnsi="Times New Roman"/>
          <w:sz w:val="21"/>
          <w:szCs w:val="21"/>
          <w:color w:val="auto"/>
        </w:rPr>
        <w:t>”). For each (1) 2017 Plan Returning Share subject to a Full Value Award or (2) Prior Plans’ Returning Share subject to a stock award other than a Prior Plans’ Appreciation Award, the number of shares of Common Stock available for issuance under the Plan will increase by (x) 1.5 shares for each such 2017 Plan Returning Share or Prior Plans’ Returning Share that returns to the Plan prior to May 25, 2022; (y) two shares for each such 2017 Plan Returning Share or Prior Plans’ Returning Share that returns to the Plan on or after May 25, 2022 and prior to May 26, 2026; and (z) for each such 2017 Plan Returning Share or Prior Plans’ Returning Share that returns to the Plan on or after May 26, 2026, the same number of shares by which the Share Reserve was reduced at the time the applicable award was originally granted.</w:t>
      </w:r>
    </w:p>
    <w:p>
      <w:pPr>
        <w:spacing w:after="0" w:line="185" w:lineRule="exact"/>
        <w:rPr>
          <w:sz w:val="20"/>
          <w:szCs w:val="20"/>
          <w:color w:val="auto"/>
        </w:rPr>
      </w:pPr>
    </w:p>
    <w:p>
      <w:pPr>
        <w:jc w:val="both"/>
        <w:ind w:firstLine="1304"/>
        <w:spacing w:after="0" w:line="249" w:lineRule="auto"/>
        <w:tabs>
          <w:tab w:leader="none" w:pos="1806"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Not Available For Subsequent Issuance</w:t>
      </w:r>
      <w:r>
        <w:rPr>
          <w:rFonts w:ascii="Times New Roman" w:cs="Times New Roman" w:eastAsia="Times New Roman" w:hAnsi="Times New Roman"/>
          <w:sz w:val="22"/>
          <w:szCs w:val="22"/>
          <w:color w:val="auto"/>
        </w:rPr>
        <w:t>. Any shares of Common Stock reacquired or withheld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issued) by the Company to satisfy the exercise or purchase price of a Stock Award or a Prior Plans’ Award will no longer be available for issuance under the Plan, including any shares subject to a Stock Award or a Prior Plans’ Award that are not delivered to a Participant because such Stock Award or Prior Plans’ Award is exercised through a reduction of shares subject to such Stock Award or Prior Plans’ Award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“net exercised”). In addition, any shares reacquired or withheld (or not issued) by the Company to satisfy a tax withholding obligation in connection with an Option or Stock Appreciation Right or a Prior Plans’ Appreciation Award, or any shares repurchased by the Company on the open market with the proceeds of the exercise or strike price of an Option or Stock Appreciation Right or a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Plans’ Appreciation Award will no longer be available for issuance under the Plan. In the event that a Stock Appreciation Right or a Prior Plans’ Award that is a stock appreciation right is settled in shares of Common Stock, the gross number of shares of Common Stock subject to such award will no longer be available for issuance under the Plan.</w:t>
      </w:r>
    </w:p>
    <w:p>
      <w:pPr>
        <w:spacing w:after="0" w:line="182" w:lineRule="exact"/>
        <w:rPr>
          <w:sz w:val="20"/>
          <w:szCs w:val="20"/>
          <w:color w:val="auto"/>
        </w:rPr>
      </w:pPr>
    </w:p>
    <w:p>
      <w:pPr>
        <w:jc w:val="both"/>
        <w:ind w:firstLine="656"/>
        <w:spacing w:after="0" w:line="259" w:lineRule="auto"/>
        <w:tabs>
          <w:tab w:leader="none" w:pos="1358"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Incentive Stock Option Limit</w:t>
      </w:r>
      <w:r>
        <w:rPr>
          <w:rFonts w:ascii="Times New Roman" w:cs="Times New Roman" w:eastAsia="Times New Roman" w:hAnsi="Times New Roman"/>
          <w:sz w:val="22"/>
          <w:szCs w:val="22"/>
          <w:color w:val="auto"/>
        </w:rPr>
        <w:t>. Subject to the Share Reserve and Section 9(a) relating to Capitalization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Adjustments, the aggregate maximum number of shares of Common Stock that may be issued pursuant to the exercise of Incentive Stock Options will be 50,000,000 shares of Common Stock.</w:t>
      </w:r>
    </w:p>
    <w:p>
      <w:pPr>
        <w:spacing w:after="0" w:line="166" w:lineRule="exact"/>
        <w:rPr>
          <w:rFonts w:ascii="Times New Roman" w:cs="Times New Roman" w:eastAsia="Times New Roman" w:hAnsi="Times New Roman"/>
          <w:sz w:val="22"/>
          <w:szCs w:val="22"/>
          <w:b w:val="1"/>
          <w:bCs w:val="1"/>
          <w:color w:val="auto"/>
        </w:rPr>
      </w:pPr>
    </w:p>
    <w:p>
      <w:pPr>
        <w:ind w:left="1380" w:hanging="724"/>
        <w:spacing w:after="0"/>
        <w:tabs>
          <w:tab w:leader="none" w:pos="138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Individual Award Limitations</w:t>
      </w:r>
      <w:r>
        <w:rPr>
          <w:rFonts w:ascii="Times New Roman" w:cs="Times New Roman" w:eastAsia="Times New Roman" w:hAnsi="Times New Roman"/>
          <w:sz w:val="22"/>
          <w:szCs w:val="22"/>
          <w:color w:val="auto"/>
        </w:rPr>
        <w:t>. Subject to the Share Reserve and Section 9(a) relating to Capitalization</w:t>
      </w:r>
    </w:p>
    <w:p>
      <w:pPr>
        <w:spacing w:after="0" w:line="3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Adjustments:</w:t>
      </w:r>
    </w:p>
    <w:p>
      <w:pPr>
        <w:spacing w:after="0" w:line="209"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716" w:val="left"/>
        </w:tabs>
        <w:numPr>
          <w:ilvl w:val="2"/>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maximum of 5,000,000 shares of Common Stock subject to Options, SARs and Other Stock Awards whose value is determined by reference to an increase over an exercise or strike price of at least 100% of the Fair Market Value on the date any such Stock Award is granted may be granted to any one Participant during any one calendar year.</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789" w:val="left"/>
        </w:tabs>
        <w:numPr>
          <w:ilvl w:val="2"/>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maximum of 5,000,000 shares of Common Stock subject to Performance Stock Awards may be granted to any one Participant during any one calendar year (whether the grant, vesting or exercise is contingent upon the attainment during the Performance Period of the Performance Goals).</w:t>
      </w:r>
    </w:p>
    <w:p>
      <w:pPr>
        <w:spacing w:after="0" w:line="186" w:lineRule="exact"/>
        <w:rPr>
          <w:rFonts w:ascii="Times New Roman" w:cs="Times New Roman" w:eastAsia="Times New Roman" w:hAnsi="Times New Roman"/>
          <w:sz w:val="22"/>
          <w:szCs w:val="22"/>
          <w:b w:val="1"/>
          <w:bCs w:val="1"/>
          <w:color w:val="auto"/>
        </w:rPr>
      </w:pPr>
    </w:p>
    <w:p>
      <w:pPr>
        <w:ind w:right="20" w:firstLine="1304"/>
        <w:spacing w:after="0" w:line="271" w:lineRule="auto"/>
        <w:tabs>
          <w:tab w:leader="none" w:pos="1903" w:val="left"/>
        </w:tabs>
        <w:numPr>
          <w:ilvl w:val="2"/>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maximum of $10,000,000 subject to Performance Cash Awards may be granted to any one Participant during any one calendar year.</w:t>
      </w:r>
    </w:p>
    <w:p>
      <w:pPr>
        <w:spacing w:after="0" w:line="153"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122" w:val="left"/>
        </w:tabs>
        <w:numPr>
          <w:ilvl w:val="1"/>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Limitation on Grants to Non-Employee Directors</w:t>
      </w:r>
      <w:r>
        <w:rPr>
          <w:rFonts w:ascii="Times New Roman" w:cs="Times New Roman" w:eastAsia="Times New Roman" w:hAnsi="Times New Roman"/>
          <w:sz w:val="21"/>
          <w:szCs w:val="21"/>
          <w:color w:val="auto"/>
        </w:rPr>
        <w:t>. The (i) maximum number of shares of Common Stock subject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Stock Awards granted under the Plan or otherwise during any one calendar year (beginning with the 2017 calendar year) to any Non-Employee Director, taken together with the (ii) cash fees paid by the Company to such Non-Employee Director during such calendar year, and in both cases for service on the Board, will not exceed $750,000 in total value (calculating the value of any such Stock Awards based on the grant date fair value of such Stock Awards for financial reporting purposes), or, with respect to the calendar year in which a Non-Employee Director is first appointed or elected to the Board, $1,500,000.</w:t>
      </w:r>
    </w:p>
    <w:p>
      <w:pPr>
        <w:spacing w:after="0" w:line="162" w:lineRule="exact"/>
        <w:rPr>
          <w:rFonts w:ascii="Times New Roman" w:cs="Times New Roman" w:eastAsia="Times New Roman" w:hAnsi="Times New Roman"/>
          <w:sz w:val="21"/>
          <w:szCs w:val="21"/>
          <w:b w:val="1"/>
          <w:bCs w:val="1"/>
          <w:color w:val="auto"/>
        </w:rPr>
      </w:pPr>
    </w:p>
    <w:p>
      <w:pPr>
        <w:ind w:firstLine="656"/>
        <w:spacing w:after="0" w:line="275" w:lineRule="auto"/>
        <w:tabs>
          <w:tab w:leader="none" w:pos="1233"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Source of Shares</w:t>
      </w:r>
      <w:r>
        <w:rPr>
          <w:rFonts w:ascii="Times New Roman" w:cs="Times New Roman" w:eastAsia="Times New Roman" w:hAnsi="Times New Roman"/>
          <w:sz w:val="22"/>
          <w:szCs w:val="22"/>
          <w:color w:val="auto"/>
        </w:rPr>
        <w:t>. The stock issuable under the Plan will be shares of authorized but unissued or reacquired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including shares repurchased by the Company on the open market or otherwise.</w:t>
      </w:r>
    </w:p>
    <w:p>
      <w:pPr>
        <w:spacing w:after="0" w:line="162"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136"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 for Specific Stock Awards</w:t>
      </w:r>
      <w:r>
        <w:rPr>
          <w:rFonts w:ascii="Times New Roman" w:cs="Times New Roman" w:eastAsia="Times New Roman" w:hAnsi="Times New Roman"/>
          <w:sz w:val="22"/>
          <w:szCs w:val="22"/>
          <w:color w:val="auto"/>
        </w:rPr>
        <w:t>. Incentive Stock Options may be granted only to employees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a “parent corporation” or “subsidiary corporation” thereof (as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Stock Awards may not be granted to Employees, Directors and Consultants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requirements of Section 409A of the Code.</w:t>
      </w:r>
    </w:p>
    <w:p>
      <w:pPr>
        <w:spacing w:after="0" w:line="175" w:lineRule="exact"/>
        <w:rPr>
          <w:sz w:val="20"/>
          <w:szCs w:val="20"/>
          <w:color w:val="auto"/>
        </w:rPr>
      </w:pPr>
    </w:p>
    <w:p>
      <w:pPr>
        <w:ind w:right="300" w:firstLine="8"/>
        <w:spacing w:after="0" w:line="259" w:lineRule="auto"/>
        <w:tabs>
          <w:tab w:leader="none" w:pos="476"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Ten Percent Stockholders</w:t>
      </w:r>
      <w:r>
        <w:rPr>
          <w:rFonts w:ascii="Times New Roman" w:cs="Times New Roman" w:eastAsia="Times New Roman" w:hAnsi="Times New Roman"/>
          <w:sz w:val="22"/>
          <w:szCs w:val="22"/>
          <w:color w:val="auto"/>
        </w:rPr>
        <w:t>. A Ten Percent Stockholder will not be granted an Incentive Stock Option unless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price of such Option is at least 110% of the Fair Market Value on the date of grant and the Option is not exercisable after the expiration of five years from the date of grant.</w:t>
      </w:r>
    </w:p>
    <w:p>
      <w:pPr>
        <w:spacing w:after="0" w:line="153"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Provisions Relating to Options and Stock Appreciation Rights.</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Each Option or Stock Appreciation Right Agreement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 or Stock Appreciation Right Agreements need not be identical;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Award Agreement will conform to (through incorporation of provisions hereof by reference in the applicable Award Agreement or otherwise) the substance of each of the following provisions:</w:t>
      </w:r>
    </w:p>
    <w:p>
      <w:pPr>
        <w:spacing w:after="0" w:line="181" w:lineRule="exact"/>
        <w:rPr>
          <w:sz w:val="20"/>
          <w:szCs w:val="20"/>
          <w:color w:val="auto"/>
        </w:rPr>
      </w:pPr>
    </w:p>
    <w:p>
      <w:pPr>
        <w:jc w:val="both"/>
        <w:ind w:right="20" w:firstLine="656"/>
        <w:spacing w:after="0" w:line="299" w:lineRule="auto"/>
        <w:tabs>
          <w:tab w:leader="none" w:pos="1206"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Subject to the provisions of Section 4(b) regarding Ten Percent Stockholders, no Option or SAR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exercisable after the expiration of seven years from the date of its grant or such shorter period specified in the Award Agreement.</w:t>
      </w:r>
    </w:p>
    <w:p>
      <w:pPr>
        <w:spacing w:after="0" w:line="140" w:lineRule="exact"/>
        <w:rPr>
          <w:rFonts w:ascii="Times New Roman" w:cs="Times New Roman" w:eastAsia="Times New Roman" w:hAnsi="Times New Roman"/>
          <w:sz w:val="21"/>
          <w:szCs w:val="21"/>
          <w:b w:val="1"/>
          <w:bCs w:val="1"/>
          <w:color w:val="auto"/>
        </w:rPr>
      </w:pPr>
    </w:p>
    <w:p>
      <w:pPr>
        <w:jc w:val="both"/>
        <w:ind w:firstLine="656"/>
        <w:spacing w:after="0" w:line="250" w:lineRule="auto"/>
        <w:tabs>
          <w:tab w:leader="none" w:pos="115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Subject to the provisions of Section 4(b) regarding Ten Percent Stockholders, the exercise or strike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on the date the Award is granted if such Award is granted pursuant to an assumption of or substitution for another option or stock appreciation right pursuant to a Transaction and in a manner consistent with the provisions of Section 409A of the Code and, if applicable, Section 424(a) of the Code. Each SAR will be denominated in shares of Common Stock equivalents.</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135"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Price for Options</w:t>
      </w:r>
      <w:r>
        <w:rPr>
          <w:rFonts w:ascii="Times New Roman" w:cs="Times New Roman" w:eastAsia="Times New Roman" w:hAnsi="Times New Roman"/>
          <w:sz w:val="22"/>
          <w:szCs w:val="22"/>
          <w:color w:val="auto"/>
        </w:rPr>
        <w:t>. The purchase price of Common Stock acquired pursuant to the exercise of an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to grant Options that require the consent of the Company to use a particular method of payment. The permitted methods of payment are as follows:</w:t>
      </w:r>
    </w:p>
    <w:p>
      <w:pPr>
        <w:spacing w:after="0" w:line="158" w:lineRule="exact"/>
        <w:rPr>
          <w:sz w:val="20"/>
          <w:szCs w:val="20"/>
          <w:color w:val="auto"/>
        </w:rPr>
      </w:pPr>
    </w:p>
    <w:p>
      <w:pPr>
        <w:ind w:left="1720" w:hanging="416"/>
        <w:spacing w:after="0"/>
        <w:tabs>
          <w:tab w:leader="none" w:pos="1720"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cash, check, bank draft or money order payable to the Company;</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857"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spacing w:after="0" w:line="172" w:lineRule="exact"/>
        <w:rPr>
          <w:rFonts w:ascii="Times New Roman" w:cs="Times New Roman" w:eastAsia="Times New Roman" w:hAnsi="Times New Roman"/>
          <w:sz w:val="22"/>
          <w:szCs w:val="22"/>
          <w:b w:val="1"/>
          <w:bCs w:val="1"/>
          <w:color w:val="auto"/>
        </w:rPr>
      </w:pPr>
    </w:p>
    <w:p>
      <w:pPr>
        <w:ind w:left="1840" w:hanging="536"/>
        <w:spacing w:after="0"/>
        <w:tabs>
          <w:tab w:leader="none" w:pos="1840"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delivery to the Company (either by actual delivery or attestation) of shares of Common Stock;</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86"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86" w:lineRule="exact"/>
        <w:rPr>
          <w:rFonts w:ascii="Times New Roman" w:cs="Times New Roman" w:eastAsia="Times New Roman" w:hAnsi="Times New Roman"/>
          <w:sz w:val="22"/>
          <w:szCs w:val="22"/>
          <w:b w:val="1"/>
          <w:bCs w:val="1"/>
          <w:color w:val="auto"/>
        </w:rPr>
      </w:pPr>
    </w:p>
    <w:p>
      <w:pPr>
        <w:ind w:left="1800" w:hanging="496"/>
        <w:spacing w:after="0"/>
        <w:tabs>
          <w:tab w:leader="none" w:pos="1800"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any other form of legal consideration that may be acceptable to the Board and specified in the applicable</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Award Agreement.</w:t>
      </w:r>
    </w:p>
    <w:p>
      <w:pPr>
        <w:spacing w:after="0" w:line="191"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152"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and Payment of a SAR</w:t>
      </w:r>
      <w:r>
        <w:rPr>
          <w:rFonts w:ascii="Times New Roman" w:cs="Times New Roman" w:eastAsia="Times New Roman" w:hAnsi="Times New Roman"/>
          <w:sz w:val="22"/>
          <w:szCs w:val="22"/>
          <w:color w:val="auto"/>
        </w:rPr>
        <w:t>. To exercise any outstanding SAR, the Participant must provide written notice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to the Company 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42"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Transferability of Options and SARs</w:t>
      </w:r>
      <w:r>
        <w:rPr>
          <w:rFonts w:ascii="Times New Roman" w:cs="Times New Roman" w:eastAsia="Times New Roman" w:hAnsi="Times New Roman"/>
          <w:sz w:val="22"/>
          <w:szCs w:val="22"/>
          <w:color w:val="auto"/>
        </w:rPr>
        <w:t>. The Board may, in its sole discretion, impose such limitations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transferability of Options and SARs as the Board will determine. In the absence of such a determination by the Board to the contrary, the restrictions set forth in this Section 5(e) on the transferability of Options and SARs will apply. Notwithstanding the foregoing or anything in the Plan or an Award Agreement to the contrary, no Option or SAR may be transferred to any financial institution without prior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ind w:firstLine="1304"/>
        <w:spacing w:after="0" w:line="254" w:lineRule="auto"/>
        <w:tabs>
          <w:tab w:leader="none" w:pos="1716"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Transfer</w:t>
      </w:r>
      <w:r>
        <w:rPr>
          <w:rFonts w:ascii="Times New Roman" w:cs="Times New Roman" w:eastAsia="Times New Roman" w:hAnsi="Times New Roman"/>
          <w:sz w:val="22"/>
          <w:szCs w:val="22"/>
          <w:color w:val="auto"/>
        </w:rPr>
        <w:t>. An Option or SAR will not be transferable except by will or by the laws of descent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distribution (and pursuant to Sections 5(e)(ii) and 5(e)(iii) below) and will be exercisable during the lifetime of the Participant only by the Participant. Subject to the foregoing paragraph, the Board may permit transfer of the Option or SAR in a manner that is not prohibited by applicable tax and securities laws. Except as explicitly provided in the Plan, neither an Option nor a SAR may be transferred for consideration.</w:t>
      </w:r>
    </w:p>
    <w:p>
      <w:pPr>
        <w:spacing w:after="0" w:line="173" w:lineRule="exact"/>
        <w:rPr>
          <w:rFonts w:ascii="Times New Roman" w:cs="Times New Roman" w:eastAsia="Times New Roman" w:hAnsi="Times New Roman"/>
          <w:sz w:val="22"/>
          <w:szCs w:val="22"/>
          <w:b w:val="1"/>
          <w:bCs w:val="1"/>
          <w:color w:val="auto"/>
        </w:rPr>
      </w:pPr>
    </w:p>
    <w:p>
      <w:pPr>
        <w:jc w:val="both"/>
        <w:ind w:firstLine="1304"/>
        <w:spacing w:after="0" w:line="258" w:lineRule="auto"/>
        <w:tabs>
          <w:tab w:leader="none" w:pos="1785"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Domestic Relations Orders</w:t>
      </w:r>
      <w:r>
        <w:rPr>
          <w:rFonts w:ascii="Times New Roman" w:cs="Times New Roman" w:eastAsia="Times New Roman" w:hAnsi="Times New Roman"/>
          <w:sz w:val="22"/>
          <w:szCs w:val="22"/>
          <w:color w:val="auto"/>
        </w:rPr>
        <w:t>. Subject to the approval of the Board or a duly authorized Officer, an Option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67"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901"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Beneficiary Designation</w:t>
      </w:r>
      <w:r>
        <w:rPr>
          <w:rFonts w:ascii="Times New Roman" w:cs="Times New Roman" w:eastAsia="Times New Roman" w:hAnsi="Times New Roman"/>
          <w:sz w:val="22"/>
          <w:szCs w:val="22"/>
          <w:color w:val="auto"/>
        </w:rPr>
        <w:t>. Subject to the approval of the Board or a duly authorized Officer, a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by 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07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Generally</w:t>
      </w:r>
      <w:r>
        <w:rPr>
          <w:rFonts w:ascii="Times New Roman" w:cs="Times New Roman" w:eastAsia="Times New Roman" w:hAnsi="Times New Roman"/>
          <w:sz w:val="22"/>
          <w:szCs w:val="22"/>
          <w:color w:val="auto"/>
        </w:rPr>
        <w:t>. The total number of shares of Common Stock subject to an Option or SAR may vest and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Section 2(g) and any Option or SAR provisions governing the minimum number of shares of Common Stock as to which an Option or SAR may be exercised.</w:t>
      </w:r>
    </w:p>
    <w:p>
      <w:pPr>
        <w:spacing w:after="0" w:line="174"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197"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Continuous Service</w:t>
      </w:r>
      <w:r>
        <w:rPr>
          <w:rFonts w:ascii="Times New Roman" w:cs="Times New Roman" w:eastAsia="Times New Roman" w:hAnsi="Times New Roman"/>
          <w:sz w:val="22"/>
          <w:szCs w:val="22"/>
          <w:color w:val="auto"/>
        </w:rPr>
        <w:t>. Except as otherwise provided in the applicable Award Agreement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agreement between the Participant and the Company or an Affiliate, if a Participant’s Continuous Service terminates (other than for Cause and other than upon the Participant’s death or Disability), the Participant may exercise his or her Option or SAR (to the extent that the Participant was entitled to exercise such Option or SAR as of the date of termination of Continuous Service), but only within such period of time ending on the earlier of (i) the date three months following such termination of Continuous Service (or such longer or shorter period specified in the Award Agreement), and (ii) the expiration of the term of the Option or SAR as set forth in the Award Agreement. If, after such termination of Continuous Service, the Participant does not exercise his or her Option or SAR (as applicable) within the applicable time frame, the Option or SAR (as applicable) will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ind w:firstLine="656"/>
        <w:spacing w:after="0" w:line="260" w:lineRule="auto"/>
        <w:tabs>
          <w:tab w:leader="none" w:pos="1143"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Extension of Termination Date</w:t>
      </w:r>
      <w:r>
        <w:rPr>
          <w:rFonts w:ascii="Times New Roman" w:cs="Times New Roman" w:eastAsia="Times New Roman" w:hAnsi="Times New Roman"/>
          <w:sz w:val="21"/>
          <w:szCs w:val="21"/>
          <w:color w:val="auto"/>
        </w:rPr>
        <w:t>. Except as otherwise provided in the applicable Award Agreement or other written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the Participant and the Company or an Affiliate,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unless otherwise provided in a Participant’s Award Agreement or other written agreement between the Participant and the Company or an Affiliate,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79" w:lineRule="exact"/>
        <w:rPr>
          <w:rFonts w:ascii="Times New Roman" w:cs="Times New Roman" w:eastAsia="Times New Roman" w:hAnsi="Times New Roman"/>
          <w:sz w:val="21"/>
          <w:szCs w:val="21"/>
          <w:b w:val="1"/>
          <w:bCs w:val="1"/>
          <w:color w:val="auto"/>
        </w:rPr>
      </w:pPr>
    </w:p>
    <w:p>
      <w:pPr>
        <w:jc w:val="both"/>
        <w:ind w:firstLine="656"/>
        <w:spacing w:after="0" w:line="249" w:lineRule="auto"/>
        <w:tabs>
          <w:tab w:leader="none" w:pos="1239"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Disability of Participant</w:t>
      </w:r>
      <w:r>
        <w:rPr>
          <w:rFonts w:ascii="Times New Roman" w:cs="Times New Roman" w:eastAsia="Times New Roman" w:hAnsi="Times New Roman"/>
          <w:sz w:val="22"/>
          <w:szCs w:val="22"/>
          <w:color w:val="auto"/>
        </w:rPr>
        <w:t>. Except as otherwise provided in the applicable Award Agreement or other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the Participant 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such termination of Continuous Service, the Participant does not exercise his or her Option or SAR (as applicable) within the applicable time frame, the Option or SAR (as applicable) will terminate.</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107"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Death of Participant</w:t>
      </w:r>
      <w:r>
        <w:rPr>
          <w:rFonts w:ascii="Times New Roman" w:cs="Times New Roman" w:eastAsia="Times New Roman" w:hAnsi="Times New Roman"/>
          <w:sz w:val="22"/>
          <w:szCs w:val="22"/>
          <w:color w:val="auto"/>
        </w:rPr>
        <w:t>. Except as otherwise provided in the applicable Award Agreement or other written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Participant and the Company or an Affiliate,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18 months following the date of death (or such longer or shorter period specified in the Award Agreement), and (ii) the expiration of the term of such Option or SAR as set forth in the Award Agreement.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after the Participant’s death, the Option or SAR (as applicable) is not exercised within the applicable time frame, the Option or SAR (as applicable) will terminate.</w:t>
      </w:r>
    </w:p>
    <w:p>
      <w:pPr>
        <w:spacing w:after="0" w:line="154" w:lineRule="exact"/>
        <w:rPr>
          <w:sz w:val="20"/>
          <w:szCs w:val="20"/>
          <w:color w:val="auto"/>
        </w:rPr>
      </w:pPr>
    </w:p>
    <w:p>
      <w:pPr>
        <w:jc w:val="both"/>
        <w:ind w:firstLine="656"/>
        <w:spacing w:after="0" w:line="254" w:lineRule="auto"/>
        <w:tabs>
          <w:tab w:leader="none" w:pos="1259"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for Cause</w:t>
      </w:r>
      <w:r>
        <w:rPr>
          <w:rFonts w:ascii="Times New Roman" w:cs="Times New Roman" w:eastAsia="Times New Roman" w:hAnsi="Times New Roman"/>
          <w:sz w:val="22"/>
          <w:szCs w:val="22"/>
          <w:color w:val="auto"/>
        </w:rPr>
        <w:t>. Except as explicitly provided otherwise in a Participant’s Award Agreement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written agreement between the Participant and the Company or an Affiliate, if a Participant’s Continuous Service is terminated for Cause, the Participant’s Option or SAR will terminate immediately upon such termination of Continuous Service, and the Participant will be prohibited from exercising his or her Option or SAR from and after the time of such termination of Continuous Service.</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61" w:lineRule="auto"/>
        <w:tabs>
          <w:tab w:leader="none" w:pos="1197" w:val="left"/>
        </w:tabs>
        <w:numPr>
          <w:ilvl w:val="1"/>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Non-Exempt Employees</w:t>
      </w:r>
      <w:r>
        <w:rPr>
          <w:rFonts w:ascii="Times New Roman" w:cs="Times New Roman" w:eastAsia="Times New Roman" w:hAnsi="Times New Roman"/>
          <w:sz w:val="21"/>
          <w:szCs w:val="21"/>
          <w:color w:val="auto"/>
        </w:rPr>
        <w:t>. If an Option or SAR is granted to an Employee who is a non-exempt employee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of the 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Transaction in which such Option or SAR is not assumed, continued, or substituted, (iii) upon a Change in Control, or (iv) upon the Participant’s retirement (as such term may be defined in the Participant’s Award Agreement, in another written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0" w:lineRule="exact"/>
        <w:rPr>
          <w:rFonts w:ascii="Times New Roman" w:cs="Times New Roman" w:eastAsia="Times New Roman" w:hAnsi="Times New Roman"/>
          <w:sz w:val="21"/>
          <w:szCs w:val="21"/>
          <w:b w:val="1"/>
          <w:bCs w:val="1"/>
          <w:color w:val="auto"/>
        </w:rPr>
      </w:pPr>
    </w:p>
    <w:p>
      <w:pPr>
        <w:ind w:left="380" w:hanging="372"/>
        <w:spacing w:after="0"/>
        <w:tabs>
          <w:tab w:leader="none" w:pos="38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Provisions of Awards Other than Options and SARs.</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15"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 Awards</w:t>
      </w:r>
      <w:r>
        <w:rPr>
          <w:rFonts w:ascii="Times New Roman" w:cs="Times New Roman" w:eastAsia="Times New Roman" w:hAnsi="Times New Roman"/>
          <w:sz w:val="22"/>
          <w:szCs w:val="22"/>
          <w:color w:val="auto"/>
        </w:rPr>
        <w:t>. Each Restricted Stock Award Agreement will be in such form and will contain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95" w:lineRule="exact"/>
        <w:rPr>
          <w:rFonts w:ascii="Times New Roman" w:cs="Times New Roman" w:eastAsia="Times New Roman" w:hAnsi="Times New Roman"/>
          <w:sz w:val="22"/>
          <w:szCs w:val="22"/>
          <w:b w:val="1"/>
          <w:bCs w:val="1"/>
          <w:color w:val="auto"/>
        </w:rPr>
      </w:pPr>
    </w:p>
    <w:p>
      <w:pPr>
        <w:ind w:firstLine="1304"/>
        <w:spacing w:after="0" w:line="275" w:lineRule="auto"/>
        <w:tabs>
          <w:tab w:leader="none" w:pos="1716" w:val="left"/>
        </w:tabs>
        <w:numPr>
          <w:ilvl w:val="2"/>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r>
        <w:rPr>
          <w:rFonts w:ascii="Times New Roman" w:cs="Times New Roman" w:eastAsia="Times New Roman" w:hAnsi="Times New Roman"/>
          <w:sz w:val="22"/>
          <w:szCs w:val="22"/>
          <w:color w:val="auto"/>
        </w:rPr>
        <w:t>. A Restricted Stock Award may be awarded in consideration for (A) cash, check, bank draft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money order payable to the Company, (B)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services to the Company or an Affiliate, or (C) any other form of legal consideration (including future services) that may be acceptable to the Board, in its sole discretion, and permissible under applicable law.</w:t>
      </w:r>
    </w:p>
    <w:p>
      <w:pPr>
        <w:spacing w:after="0" w:line="154" w:lineRule="exact"/>
        <w:rPr>
          <w:sz w:val="20"/>
          <w:szCs w:val="20"/>
          <w:color w:val="auto"/>
        </w:rPr>
      </w:pPr>
    </w:p>
    <w:p>
      <w:pPr>
        <w:ind w:firstLine="1304"/>
        <w:spacing w:after="0" w:line="287" w:lineRule="auto"/>
        <w:tabs>
          <w:tab w:leader="none" w:pos="1907"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Subject to Section 2(g), shares of Common Stock awarded under the Restricted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may be subject to forfeiture to the Company in accordance with a vesting schedule to be determined by the Board.</w:t>
      </w:r>
    </w:p>
    <w:p>
      <w:pPr>
        <w:spacing w:after="0" w:line="137"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913"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Participant’s Continuous Service</w:t>
      </w:r>
      <w:r>
        <w:rPr>
          <w:rFonts w:ascii="Times New Roman" w:cs="Times New Roman" w:eastAsia="Times New Roman" w:hAnsi="Times New Roman"/>
          <w:sz w:val="22"/>
          <w:szCs w:val="22"/>
          <w:color w:val="auto"/>
        </w:rPr>
        <w:t>. If a Participant’s Continuous Service terminates,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receive through a forfeiture condition or a repurchase right any or all of the shares of Common Stock held by the Participant that have not vested as of the date of such termination of Continuous Service under the terms of the Restricted Stock Award Agreement.</w:t>
      </w:r>
    </w:p>
    <w:p>
      <w:pPr>
        <w:spacing w:after="0" w:line="188"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874"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Rights to acquire shares of Common Stock under the Restricted Stock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 Restricted Stock Award Agreement to the contrary, no Restricted Stock Award may be transferred to any financial institution without prior stockholder approval.</w:t>
      </w:r>
    </w:p>
    <w:p>
      <w:pPr>
        <w:spacing w:after="0" w:line="193"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12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 Unit Awards</w:t>
      </w:r>
      <w:r>
        <w:rPr>
          <w:rFonts w:ascii="Times New Roman" w:cs="Times New Roman" w:eastAsia="Times New Roman" w:hAnsi="Times New Roman"/>
          <w:sz w:val="22"/>
          <w:szCs w:val="22"/>
          <w:color w:val="auto"/>
        </w:rPr>
        <w:t>. Each Restricted Stock Unit Award Agreement will be in such form and will contain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and 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89"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891"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r>
        <w:rPr>
          <w:rFonts w:ascii="Times New Roman" w:cs="Times New Roman" w:eastAsia="Times New Roman" w:hAnsi="Times New Roman"/>
          <w:sz w:val="22"/>
          <w:szCs w:val="22"/>
          <w:color w:val="auto"/>
        </w:rPr>
        <w:t>. At the time of grant of a Restricted Stock Unit Award, the Board will determine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9" w:lineRule="exact"/>
        <w:rPr>
          <w:rFonts w:ascii="Times New Roman" w:cs="Times New Roman" w:eastAsia="Times New Roman" w:hAnsi="Times New Roman"/>
          <w:sz w:val="22"/>
          <w:szCs w:val="22"/>
          <w:b w:val="1"/>
          <w:bCs w:val="1"/>
          <w:color w:val="auto"/>
        </w:rPr>
      </w:pPr>
    </w:p>
    <w:p>
      <w:pPr>
        <w:jc w:val="both"/>
        <w:ind w:right="20" w:firstLine="1304"/>
        <w:spacing w:after="0" w:line="259" w:lineRule="auto"/>
        <w:tabs>
          <w:tab w:leader="none" w:pos="1826"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Subject to Section 2(g), at the time of the grant of a Restricted Stock Unit Award, the Board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impose such restrictions on or conditions to the vesting of the Restricted Stock Unit Award as it, in its sole discretion, deems appropriate.</w:t>
      </w:r>
    </w:p>
    <w:p>
      <w:pPr>
        <w:spacing w:after="0" w:line="166" w:lineRule="exact"/>
        <w:rPr>
          <w:rFonts w:ascii="Times New Roman" w:cs="Times New Roman" w:eastAsia="Times New Roman" w:hAnsi="Times New Roman"/>
          <w:sz w:val="22"/>
          <w:szCs w:val="22"/>
          <w:b w:val="1"/>
          <w:bCs w:val="1"/>
          <w:color w:val="auto"/>
        </w:rPr>
      </w:pPr>
    </w:p>
    <w:p>
      <w:pPr>
        <w:jc w:val="both"/>
        <w:ind w:right="20" w:firstLine="1304"/>
        <w:spacing w:after="0" w:line="259" w:lineRule="auto"/>
        <w:tabs>
          <w:tab w:leader="none" w:pos="1863"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 Restricted Stock Unit Award may be settled by the delivery of shares of Common Stock,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equivalent, any combination thereof or in any other form of consideration, as determined by the Board and contained in the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ind w:firstLine="1304"/>
        <w:spacing w:after="0" w:line="259" w:lineRule="auto"/>
        <w:tabs>
          <w:tab w:leader="none" w:pos="1844"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w:t>
      </w:r>
      <w:r>
        <w:rPr>
          <w:rFonts w:ascii="Times New Roman" w:cs="Times New Roman" w:eastAsia="Times New Roman" w:hAnsi="Times New Roman"/>
          <w:sz w:val="22"/>
          <w:szCs w:val="22"/>
          <w:color w:val="auto"/>
        </w:rPr>
        <w:t>. At the time of the grant of a Restricted Stock Unit Award, the Board, as it deems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may impose such restrictions or conditions that delay the delivery of the shares of Common Stock (or their cash equivalent) subject to a Restricted Stock Unit Award to a time after the vesting of such Restricted Stock Unit Award.</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989"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Participant’s Continuous Service</w:t>
      </w:r>
      <w:r>
        <w:rPr>
          <w:rFonts w:ascii="Times New Roman" w:cs="Times New Roman" w:eastAsia="Times New Roman" w:hAnsi="Times New Roman"/>
          <w:sz w:val="22"/>
          <w:szCs w:val="22"/>
          <w:color w:val="auto"/>
        </w:rPr>
        <w:t>. Except as otherwise provided in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 Award Agreement or other written agreement between the Participant and the Company or an Affiliate, such portion of the Restricted Stock Unit Award that has not vested will be forfeited upon the Participant’s termination of Continuous Service.</w:t>
      </w:r>
    </w:p>
    <w:p>
      <w:pPr>
        <w:spacing w:after="0" w:line="175"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779"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Stock Awards</w:t>
      </w:r>
      <w:r>
        <w:rPr>
          <w:rFonts w:ascii="Times New Roman" w:cs="Times New Roman" w:eastAsia="Times New Roman" w:hAnsi="Times New Roman"/>
          <w:sz w:val="22"/>
          <w:szCs w:val="22"/>
          <w:color w:val="auto"/>
        </w:rPr>
        <w:t>. A Performance Stock Award is a Stock Award (covering a number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in excess of that set forth in Section 3(d)(ii)) that is payable (including that may be granted, vest or be exercised) contingent upon the attainment during a Performance Period of certain Performance Goals. A Performance Stock Award may, but need not, require the Participant’s completion of a specified period of Continuous Service. Subject to Section 2(g),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or the Committee), in its sole discretion. In addition, to the extent permitted by applicable law and the applicable Award Agreement, the Board may determine that cash may be used in payment of Performance Stock Awards.</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785"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Cash Awards</w:t>
      </w:r>
      <w:r>
        <w:rPr>
          <w:rFonts w:ascii="Times New Roman" w:cs="Times New Roman" w:eastAsia="Times New Roman" w:hAnsi="Times New Roman"/>
          <w:sz w:val="22"/>
          <w:szCs w:val="22"/>
          <w:color w:val="auto"/>
        </w:rPr>
        <w:t>. A Performance Cash Award is a cash award (for a dollar value not in excess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set forth in Section 3(d)(iii)) that is payable contingent upon the attainment during a Performance Period of certain Performance Goals. A Performance Cash Award may, but need not, require the Participant’s completion of a specified period of Continuous Service. Subject to Section 2(g),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or the Committee),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844"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Committee and Board Discretion</w:t>
      </w:r>
      <w:r>
        <w:rPr>
          <w:rFonts w:ascii="Times New Roman" w:cs="Times New Roman" w:eastAsia="Times New Roman" w:hAnsi="Times New Roman"/>
          <w:sz w:val="22"/>
          <w:szCs w:val="22"/>
          <w:color w:val="auto"/>
        </w:rPr>
        <w:t>. The Committee (or, if not required for compliance with Section 162(m)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Code, the Board or the Committee) retains the discretion to reduce or eliminate the compensation or economic benefit due upon the attainment of any Performance Goals and to define the manner of calculating the Performance Criteria it selects to use for a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ind w:firstLine="1304"/>
        <w:spacing w:after="0" w:line="264" w:lineRule="auto"/>
        <w:tabs>
          <w:tab w:leader="none" w:pos="1878" w:val="left"/>
        </w:tabs>
        <w:numPr>
          <w:ilvl w:val="2"/>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162(m) Compliance. </w:t>
      </w:r>
      <w:r>
        <w:rPr>
          <w:rFonts w:ascii="Times New Roman" w:cs="Times New Roman" w:eastAsia="Times New Roman" w:hAnsi="Times New Roman"/>
          <w:sz w:val="21"/>
          <w:szCs w:val="21"/>
          <w:color w:val="auto"/>
        </w:rPr>
        <w:t>Unless otherwise permitted in compliance with Section 162(m) of the Code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an Award intended to qualify as “performance-based compensation” thereunder, the Committee will establish the Performance Goals applicable to, and the formula for calculating the amount payable under, the Award no later than the earlier of</w:t>
      </w:r>
    </w:p>
    <w:p>
      <w:pPr>
        <w:spacing w:after="0" w:line="2" w:lineRule="exact"/>
        <w:rPr>
          <w:rFonts w:ascii="Times New Roman" w:cs="Times New Roman" w:eastAsia="Times New Roman" w:hAnsi="Times New Roman"/>
          <w:sz w:val="21"/>
          <w:szCs w:val="21"/>
          <w:b w:val="1"/>
          <w:bCs w:val="1"/>
          <w:color w:val="auto"/>
        </w:rPr>
      </w:pPr>
    </w:p>
    <w:p>
      <w:pPr>
        <w:jc w:val="both"/>
        <w:ind w:firstLine="8"/>
        <w:spacing w:after="0" w:line="246" w:lineRule="auto"/>
        <w:tabs>
          <w:tab w:leader="none" w:pos="38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90 days after the commencement of the applicable Performance Period, and (B) the date on which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the Performance Goals relate solely to the increase in the value of the Common Stock). Notwithstanding satisfaction or any completion of any Performance Goals, shares subject to Options, cash or other benefits granted, issued, retainable and/or vested under an Award on account of satisfaction of such Performance Goals may be reduced by the Committee on the basis of any further considerations as the Committee, in its sole discretion, will determine.</w:t>
      </w:r>
    </w:p>
    <w:p>
      <w:pPr>
        <w:spacing w:after="0" w:line="187" w:lineRule="exact"/>
        <w:rPr>
          <w:rFonts w:ascii="Times New Roman" w:cs="Times New Roman" w:eastAsia="Times New Roman" w:hAnsi="Times New Roman"/>
          <w:sz w:val="22"/>
          <w:szCs w:val="22"/>
          <w:color w:val="auto"/>
        </w:rPr>
      </w:pPr>
    </w:p>
    <w:p>
      <w:pPr>
        <w:jc w:val="both"/>
        <w:ind w:firstLine="1304"/>
        <w:spacing w:after="0" w:line="264" w:lineRule="auto"/>
        <w:tabs>
          <w:tab w:leader="none" w:pos="1764" w:val="left"/>
        </w:tabs>
        <w:numPr>
          <w:ilvl w:val="2"/>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162(m) Transition Relief. </w:t>
      </w:r>
      <w:r>
        <w:rPr>
          <w:rFonts w:ascii="Times New Roman" w:cs="Times New Roman" w:eastAsia="Times New Roman" w:hAnsi="Times New Roman"/>
          <w:sz w:val="21"/>
          <w:szCs w:val="21"/>
          <w:color w:val="auto"/>
        </w:rPr>
        <w:t>Notwithstanding anything in the Plan to the contrary, any provision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that refers to “performance-based compensation” under Section 162(m) of the Code will only apply to any Award that is intended to qualify, and is eligible to qualify, as “performance-based compensation” under Section 162(m) of the Code pursuant to the transition relief provided by the Tax Cuts and Jobs Act (the “</w:t>
      </w:r>
      <w:r>
        <w:rPr>
          <w:rFonts w:ascii="Times New Roman" w:cs="Times New Roman" w:eastAsia="Times New Roman" w:hAnsi="Times New Roman"/>
          <w:sz w:val="21"/>
          <w:szCs w:val="21"/>
          <w:b w:val="1"/>
          <w:bCs w:val="1"/>
          <w:i w:val="1"/>
          <w:iCs w:val="1"/>
          <w:color w:val="auto"/>
        </w:rPr>
        <w:t>TCJA</w:t>
      </w:r>
      <w:r>
        <w:rPr>
          <w:rFonts w:ascii="Times New Roman" w:cs="Times New Roman" w:eastAsia="Times New Roman" w:hAnsi="Times New Roman"/>
          <w:sz w:val="21"/>
          <w:szCs w:val="21"/>
          <w:color w:val="auto"/>
        </w:rPr>
        <w:t>”) for remuneration provided pursuant to a written binding contract which was in effect on November 2, 2017 and which was not modified in any material respect on or after such date, as determined by the Board, in its sole discretion, in accordance with the TCJA and any applicable guidance, rulings or regulations issued by the U.S. Department of the Treasury, the Internal Revenue Service or any other governmental authority.</w:t>
      </w:r>
    </w:p>
    <w:p>
      <w:pPr>
        <w:spacing w:after="0" w:line="179" w:lineRule="exact"/>
        <w:rPr>
          <w:rFonts w:ascii="Times New Roman" w:cs="Times New Roman" w:eastAsia="Times New Roman" w:hAnsi="Times New Roman"/>
          <w:sz w:val="21"/>
          <w:szCs w:val="21"/>
          <w:b w:val="1"/>
          <w:bCs w:val="1"/>
          <w:color w:val="auto"/>
        </w:rPr>
      </w:pPr>
    </w:p>
    <w:p>
      <w:pPr>
        <w:jc w:val="both"/>
        <w:ind w:firstLine="656"/>
        <w:spacing w:after="0" w:line="252" w:lineRule="auto"/>
        <w:tabs>
          <w:tab w:leader="none" w:pos="1164"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Stock Awards</w:t>
      </w:r>
      <w:r>
        <w:rPr>
          <w:rFonts w:ascii="Times New Roman" w:cs="Times New Roman" w:eastAsia="Times New Roman" w:hAnsi="Times New Roman"/>
          <w:sz w:val="22"/>
          <w:szCs w:val="22"/>
          <w:color w:val="auto"/>
        </w:rPr>
        <w:t>. Other forms of Stock Awards valued in whole or in part by reference to, or otherwise 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Common Stock may be granted either alone or in addition to Stock Awards granted under Section 5 and this Section 6. Subject to the provisions of the Plan (including, but not limited to, Sections 2(g) and 2(h)),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75"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of the Company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ind w:right="20" w:firstLine="656"/>
        <w:spacing w:after="0" w:line="275" w:lineRule="auto"/>
        <w:tabs>
          <w:tab w:leader="none" w:pos="1221"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Availability of Shares</w:t>
      </w:r>
      <w:r>
        <w:rPr>
          <w:rFonts w:ascii="Times New Roman" w:cs="Times New Roman" w:eastAsia="Times New Roman" w:hAnsi="Times New Roman"/>
          <w:sz w:val="22"/>
          <w:szCs w:val="22"/>
          <w:color w:val="auto"/>
        </w:rPr>
        <w:t>. The Company will keep available at all times the number of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required to satisfy then-outstanding Stock Awards.</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146" w:val="left"/>
        </w:tabs>
        <w:numPr>
          <w:ilvl w:val="1"/>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 Compliance</w:t>
      </w:r>
      <w:r>
        <w:rPr>
          <w:rFonts w:ascii="Times New Roman" w:cs="Times New Roman" w:eastAsia="Times New Roman" w:hAnsi="Times New Roman"/>
          <w:sz w:val="22"/>
          <w:szCs w:val="22"/>
          <w:color w:val="auto"/>
        </w:rPr>
        <w:t>. The Company will seek to obtain from each regulatory commission or agency having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jurisdiction over the Plan the authority required to grant Stock Awards and to issue and sell shares of Common Stock upon exercise of the Stock Awards;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this undertaking will not require the Company to register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65" w:lineRule="exact"/>
        <w:rPr>
          <w:sz w:val="20"/>
          <w:szCs w:val="20"/>
          <w:color w:val="auto"/>
        </w:rPr>
      </w:pPr>
    </w:p>
    <w:p>
      <w:pPr>
        <w:jc w:val="both"/>
        <w:ind w:firstLine="656"/>
        <w:spacing w:after="0" w:line="254" w:lineRule="auto"/>
        <w:tabs>
          <w:tab w:leader="none" w:pos="1163"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Notify or Minimize Taxes</w:t>
      </w:r>
      <w:r>
        <w:rPr>
          <w:rFonts w:ascii="Times New Roman" w:cs="Times New Roman" w:eastAsia="Times New Roman" w:hAnsi="Times New Roman"/>
          <w:sz w:val="22"/>
          <w:szCs w:val="22"/>
          <w:color w:val="auto"/>
        </w:rPr>
        <w:t>. The Company will have no duty or obligation to any Participant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advise such holder as to the time or manner of exercising a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3"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116"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Use of Proceeds from Sales of Common Stock</w:t>
      </w:r>
      <w:r>
        <w:rPr>
          <w:rFonts w:ascii="Times New Roman" w:cs="Times New Roman" w:eastAsia="Times New Roman" w:hAnsi="Times New Roman"/>
          <w:sz w:val="22"/>
          <w:szCs w:val="22"/>
          <w:color w:val="auto"/>
        </w:rPr>
        <w:t>. Proceeds from the sale of shares of Common Stock issued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Stock Awards will constitute general funds of the Company.</w:t>
      </w:r>
    </w:p>
    <w:p>
      <w:pPr>
        <w:spacing w:after="0" w:line="162"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12"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Corporate Action Constituting Grant of Awards</w:t>
      </w:r>
      <w:r>
        <w:rPr>
          <w:rFonts w:ascii="Times New Roman" w:cs="Times New Roman" w:eastAsia="Times New Roman" w:hAnsi="Times New Roman"/>
          <w:sz w:val="22"/>
          <w:szCs w:val="22"/>
          <w:color w:val="auto"/>
        </w:rPr>
        <w:t>. Corporate action constituting a grant by the Company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Board consents, resolutions or minutes) documenting the corporate action constituting the grant contain terms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terms in the Award Agreement or related grant documents.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115"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Stockholder Rights</w:t>
      </w:r>
      <w:r>
        <w:rPr>
          <w:rFonts w:ascii="Times New Roman" w:cs="Times New Roman" w:eastAsia="Times New Roman" w:hAnsi="Times New Roman"/>
          <w:sz w:val="22"/>
          <w:szCs w:val="22"/>
          <w:color w:val="auto"/>
        </w:rPr>
        <w:t>. No Participant will be deemed to be the holder of, or to have any of the rights of a holder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67"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12"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Employment or Other Service Rights</w:t>
      </w:r>
      <w:r>
        <w:rPr>
          <w:rFonts w:ascii="Times New Roman" w:cs="Times New Roman" w:eastAsia="Times New Roman" w:hAnsi="Times New Roman"/>
          <w:sz w:val="22"/>
          <w:szCs w:val="22"/>
          <w:color w:val="auto"/>
        </w:rPr>
        <w:t>. Nothing in the Plan, any Award Agreement or any other instrument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thereunder or in connection with any Award granted pursuant thereto will confer upon any Participant any right to continue to serve the Company or an Affiliate in the capacity in effect at the time the Award was granted or will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2" w:lineRule="exact"/>
        <w:rPr>
          <w:sz w:val="20"/>
          <w:szCs w:val="20"/>
          <w:color w:val="auto"/>
        </w:rPr>
      </w:pPr>
    </w:p>
    <w:p>
      <w:pPr>
        <w:jc w:val="both"/>
        <w:ind w:firstLine="656"/>
        <w:spacing w:after="0" w:line="249" w:lineRule="auto"/>
        <w:tabs>
          <w:tab w:leader="none" w:pos="111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Time Commitment</w:t>
      </w:r>
      <w:r>
        <w:rPr>
          <w:rFonts w:ascii="Times New Roman" w:cs="Times New Roman" w:eastAsia="Times New Roman" w:hAnsi="Times New Roman"/>
          <w:sz w:val="22"/>
          <w:szCs w:val="22"/>
          <w:color w:val="auto"/>
        </w:rPr>
        <w:t>. In the event a Participant’s regular level of time commitment in the performance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his or her services for the Company or any Affiliate is reduced (for example, and without limitation, if the Participant is an Employee of the Company and the Employee has a change in status from a full-time Employee to a part-time Employee)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103"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Incentive Stock Option Limitations</w:t>
      </w:r>
      <w:r>
        <w:rPr>
          <w:rFonts w:ascii="Times New Roman" w:cs="Times New Roman" w:eastAsia="Times New Roman" w:hAnsi="Times New Roman"/>
          <w:sz w:val="21"/>
          <w:szCs w:val="21"/>
          <w:color w:val="auto"/>
        </w:rPr>
        <w:t>. To the extent that the aggregate Fair Market Value (determined at the time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62" w:lineRule="exact"/>
        <w:rPr>
          <w:rFonts w:ascii="Times New Roman" w:cs="Times New Roman" w:eastAsia="Times New Roman" w:hAnsi="Times New Roman"/>
          <w:sz w:val="21"/>
          <w:szCs w:val="21"/>
          <w:b w:val="1"/>
          <w:bCs w:val="1"/>
          <w:color w:val="auto"/>
        </w:rPr>
      </w:pPr>
    </w:p>
    <w:p>
      <w:pPr>
        <w:jc w:val="both"/>
        <w:ind w:firstLine="656"/>
        <w:spacing w:after="0" w:line="249" w:lineRule="auto"/>
        <w:tabs>
          <w:tab w:leader="none" w:pos="129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Investment Assurances</w:t>
      </w:r>
      <w:r>
        <w:rPr>
          <w:rFonts w:ascii="Times New Roman" w:cs="Times New Roman" w:eastAsia="Times New Roman" w:hAnsi="Times New Roman"/>
          <w:sz w:val="22"/>
          <w:szCs w:val="22"/>
          <w:color w:val="auto"/>
        </w:rPr>
        <w:t>. The Company may require a Participant, as a condition of exercising or acquiring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necessary or appropriate in order to comply with applicable securities laws, including, but not limited to, legends restricting the transfer of the Common Stock.</w:t>
      </w:r>
    </w:p>
    <w:p>
      <w:pPr>
        <w:spacing w:after="0" w:line="154" w:lineRule="exact"/>
        <w:rPr>
          <w:sz w:val="20"/>
          <w:szCs w:val="20"/>
          <w:color w:val="auto"/>
        </w:rPr>
      </w:pPr>
    </w:p>
    <w:p>
      <w:pPr>
        <w:jc w:val="both"/>
        <w:ind w:firstLine="656"/>
        <w:spacing w:after="0" w:line="249" w:lineRule="auto"/>
        <w:tabs>
          <w:tab w:leader="none" w:pos="1189"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Obligations</w:t>
      </w:r>
      <w:r>
        <w:rPr>
          <w:rFonts w:ascii="Times New Roman" w:cs="Times New Roman" w:eastAsia="Times New Roman" w:hAnsi="Times New Roman"/>
          <w:sz w:val="22"/>
          <w:szCs w:val="22"/>
          <w:color w:val="auto"/>
        </w:rPr>
        <w:t>. Unless prohibited by the terms of an Award Agreement, the Company may,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discretion, satisfy any federal, state, local or foreign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Stock Award, provided that notwithstanding anything to the contrary in the terms of an Award Agreement, the Company will have the discretion to determine the basis upon which the number of shares to be withheld will be calculated;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shares of Common Stock are withheld with a value exceeding the maximum amount of tax that may be required to be withheld by law (or such other amount as may be permitted while still avoiding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165"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Any reference herein to a “written” agreement or document will include any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document delivered electronically, filed publicly at </w:t>
      </w:r>
      <w:r>
        <w:rPr>
          <w:rFonts w:ascii="Times New Roman" w:cs="Times New Roman" w:eastAsia="Times New Roman" w:hAnsi="Times New Roman"/>
          <w:sz w:val="22"/>
          <w:szCs w:val="22"/>
          <w:u w:val="single" w:color="auto"/>
          <w:color w:val="auto"/>
        </w:rPr>
        <w:t>www.sec.gov</w:t>
      </w:r>
      <w:r>
        <w:rPr>
          <w:rFonts w:ascii="Times New Roman" w:cs="Times New Roman" w:eastAsia="Times New Roman" w:hAnsi="Times New Roman"/>
          <w:sz w:val="22"/>
          <w:szCs w:val="22"/>
          <w:color w:val="auto"/>
        </w:rPr>
        <w:t xml:space="preserve"> (or any successor website thereto) or posted on the Company’s intranet (or other shared electronic medium controlled by the Company to which the Participant has access).</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63" w:lineRule="auto"/>
        <w:tabs>
          <w:tab w:leader="none" w:pos="1215"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Deferrals</w:t>
      </w:r>
      <w:r>
        <w:rPr>
          <w:rFonts w:ascii="Times New Roman" w:cs="Times New Roman" w:eastAsia="Times New Roman" w:hAnsi="Times New Roman"/>
          <w:sz w:val="21"/>
          <w:szCs w:val="21"/>
          <w:color w:val="auto"/>
        </w:rPr>
        <w:t>. To the extent permitted by applicable law, the Board, in its sole discretion, may determine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64" w:lineRule="exact"/>
        <w:rPr>
          <w:rFonts w:ascii="Times New Roman" w:cs="Times New Roman" w:eastAsia="Times New Roman" w:hAnsi="Times New Roman"/>
          <w:sz w:val="21"/>
          <w:szCs w:val="21"/>
          <w:b w:val="1"/>
          <w:bCs w:val="1"/>
          <w:color w:val="auto"/>
        </w:rPr>
      </w:pPr>
    </w:p>
    <w:p>
      <w:pPr>
        <w:jc w:val="both"/>
        <w:ind w:firstLine="656"/>
        <w:spacing w:after="0" w:line="251" w:lineRule="auto"/>
        <w:tabs>
          <w:tab w:leader="none" w:pos="1144"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Compliance with Section 409A of the Code</w:t>
      </w:r>
      <w:r>
        <w:rPr>
          <w:rFonts w:ascii="Times New Roman" w:cs="Times New Roman" w:eastAsia="Times New Roman" w:hAnsi="Times New Roman"/>
          <w:sz w:val="22"/>
          <w:szCs w:val="22"/>
          <w:color w:val="auto"/>
        </w:rPr>
        <w:t>. Unless otherwise expressly provided for in an Award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Award Agreements will be interpreted to the greatest extent possible in a manner that makes the Plan and the Awards granted hereunder exempt from Section 409A of the Code, and, to the extent not so exempt, in compliance with Section 409A of the Code. To the extent that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applicable, the Plan and Award Agreements will be interpreted in accordance with the requirements of Section 409A of the Code. Notwithstanding anything to the contrary in this Plan (and unless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Agreement specifically provides otherwise), if the shares of Common Stock are publicly traded and a Participant holding an Award that constitutes “deferred compensation” under Section 409A of the Code is a “specified employee” for purposes of Section 409A of the Code, no distribution or payment of any amount will be made upon a “separation from service” before a date that is six months following the date of such Participant’s “separation from service” (as defined in Section 409A of the Code without regard to alternative definitions thereunder) or, if earlier, the date of the Participant’s death, unless such distribution or payment may be made in a manner that complies with Section 409A of the Code.</w:t>
      </w:r>
    </w:p>
    <w:p>
      <w:pPr>
        <w:spacing w:after="0" w:line="177" w:lineRule="exact"/>
        <w:rPr>
          <w:sz w:val="20"/>
          <w:szCs w:val="20"/>
          <w:color w:val="auto"/>
        </w:rPr>
      </w:pPr>
    </w:p>
    <w:p>
      <w:pPr>
        <w:jc w:val="both"/>
        <w:ind w:firstLine="656"/>
        <w:spacing w:after="0" w:line="250" w:lineRule="auto"/>
        <w:tabs>
          <w:tab w:leader="none" w:pos="1176"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Clawback/Recovery</w:t>
      </w:r>
      <w:r>
        <w:rPr>
          <w:rFonts w:ascii="Times New Roman" w:cs="Times New Roman" w:eastAsia="Times New Roman" w:hAnsi="Times New Roman"/>
          <w:sz w:val="22"/>
          <w:szCs w:val="22"/>
          <w:color w:val="auto"/>
        </w:rPr>
        <w:t>. All Awards granted under the Plan will be subject to recoupment in accordance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other clawback policy that the Company adopts.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spacing w:after="0" w:line="179"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 upon Changes in Common Stock; Other Corporate Events.</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299"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Capitalization Adjustments</w:t>
      </w:r>
      <w:r>
        <w:rPr>
          <w:rFonts w:ascii="Times New Roman" w:cs="Times New Roman" w:eastAsia="Times New Roman" w:hAnsi="Times New Roman"/>
          <w:sz w:val="22"/>
          <w:szCs w:val="22"/>
          <w:color w:val="auto"/>
        </w:rPr>
        <w:t>. In the event of a Capitalization Adjustment, the Board will appropriately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proportionately adjust: (i) the class(es) 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 3(d), and (iv) the class(es) and number of securities and price per share of stock subject to outstanding Stock Awards. The Board will make such adjustments, and its determination will be final, binding and conclusive.</w:t>
      </w:r>
    </w:p>
    <w:p>
      <w:pPr>
        <w:spacing w:after="0" w:line="174"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36"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Dissolution or Liquidation</w:t>
      </w:r>
      <w:r>
        <w:rPr>
          <w:rFonts w:ascii="Times New Roman" w:cs="Times New Roman" w:eastAsia="Times New Roman" w:hAnsi="Times New Roman"/>
          <w:sz w:val="22"/>
          <w:szCs w:val="22"/>
          <w:color w:val="auto"/>
        </w:rPr>
        <w:t>. Except as otherwise provided in the Stock Award Agreement or any other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the Company or any Affiliate and the Participant,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w:t>
      </w:r>
    </w:p>
    <w:p>
      <w:pPr>
        <w:spacing w:after="0" w:line="180" w:lineRule="exact"/>
        <w:rPr>
          <w:rFonts w:ascii="Times New Roman" w:cs="Times New Roman" w:eastAsia="Times New Roman" w:hAnsi="Times New Roman"/>
          <w:sz w:val="22"/>
          <w:szCs w:val="22"/>
          <w:b w:val="1"/>
          <w:bCs w:val="1"/>
          <w:color w:val="auto"/>
        </w:rPr>
      </w:pPr>
    </w:p>
    <w:p>
      <w:pPr>
        <w:ind w:firstLine="656"/>
        <w:spacing w:after="0" w:line="287" w:lineRule="auto"/>
        <w:tabs>
          <w:tab w:leader="none" w:pos="1167"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The provisions of this Section 9(c) will apply to Stock Awards in the event of a Transaction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provided in the instrument evidencing the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Award or any other written arrangement between the Company or any Affiliate and the Participant or in any director compensation policy of the Company.</w:t>
      </w:r>
    </w:p>
    <w:p>
      <w:pPr>
        <w:spacing w:after="0" w:line="154" w:lineRule="exact"/>
        <w:rPr>
          <w:sz w:val="20"/>
          <w:szCs w:val="20"/>
          <w:color w:val="auto"/>
        </w:rPr>
      </w:pPr>
    </w:p>
    <w:p>
      <w:pPr>
        <w:jc w:val="both"/>
        <w:ind w:firstLine="1304"/>
        <w:spacing w:after="0" w:line="249" w:lineRule="auto"/>
        <w:tabs>
          <w:tab w:leader="none" w:pos="1831"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Awards May Be Assumed</w:t>
      </w:r>
      <w:r>
        <w:rPr>
          <w:rFonts w:ascii="Times New Roman" w:cs="Times New Roman" w:eastAsia="Times New Roman" w:hAnsi="Times New Roman"/>
          <w:sz w:val="22"/>
          <w:szCs w:val="22"/>
          <w:color w:val="auto"/>
        </w:rPr>
        <w:t>. In the event of a Transaction, any surviving corporation or acquiring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(or the surviving or acquiring corporation’s parent company) may assume or continue any or all Stock Awards outstanding under the Plan or may substitute similar stock awards for Stock Awards outstanding under the Plan (including but not limited to, awards to acquire the same consideration paid to the stockholders of the Company pursuant to the Transaction), and any reacquisition or repurchase rights held by the Company in respect of Common Stock issued pursuant to Stock Awards may be assigned by the Company to the successor of the Company (or the successor’s parent company, if any), in connection with such Transaction. A surviving corporation or acquiring corporation (or its parent) may choose to assume or continue only a portion of a Stock Award or substitute a similar stock award for only a portion of a Stock Award, or may choose to assume or continue, or substitute similar stock awards for, the Stock Awards held by some, but not all Participants. The terms of any assumption, continuation or substitution will be set by the Board.</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61" w:lineRule="auto"/>
        <w:tabs>
          <w:tab w:leader="none" w:pos="1950"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Stock Awards Held by Current Participants</w:t>
      </w:r>
      <w:r>
        <w:rPr>
          <w:rFonts w:ascii="Times New Roman" w:cs="Times New Roman" w:eastAsia="Times New Roman" w:hAnsi="Times New Roman"/>
          <w:sz w:val="21"/>
          <w:szCs w:val="21"/>
          <w:color w:val="auto"/>
        </w:rPr>
        <w:t>. In the event of a Transaction in which the surviving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acquiring corporation (or its parent company) does not assume or continue such outstanding Stock Awards or substitute similar stock awards for such outstanding Stock Awards, then with respect to Stock Awards that have not been assumed, continued or substituted and that are held by Participants whose Continuous Service has not terminated prior to the effective time of the Transaction (referred to as the “</w:t>
      </w:r>
      <w:r>
        <w:rPr>
          <w:rFonts w:ascii="Times New Roman" w:cs="Times New Roman" w:eastAsia="Times New Roman" w:hAnsi="Times New Roman"/>
          <w:sz w:val="21"/>
          <w:szCs w:val="21"/>
          <w:b w:val="1"/>
          <w:bCs w:val="1"/>
          <w:i w:val="1"/>
          <w:iCs w:val="1"/>
          <w:color w:val="auto"/>
        </w:rPr>
        <w:t>Current Participants</w:t>
      </w:r>
      <w:r>
        <w:rPr>
          <w:rFonts w:ascii="Times New Roman" w:cs="Times New Roman" w:eastAsia="Times New Roman" w:hAnsi="Times New Roman"/>
          <w:sz w:val="21"/>
          <w:szCs w:val="21"/>
          <w:color w:val="auto"/>
        </w:rPr>
        <w:t>”), the vesting of such Stock Awards (and, with respect to Options and Stock Appreciation Rights, the time when such Stock Awards may be exercised) will be accelerated in full (and with respect to any such Stock Awards that are subject to performance-based vesting conditions or requirements, vesting will be deemed to be satisfied at the target level of performance) to a date prior to the effective time of such Transaction (contingent upon the effectiveness of the Transaction) as the Board will determine (or, if the Board does not determine such a date, to the date that is five days prior to the effective time of the Transaction), and such Stock Awards will terminate if not exercised (if applicable) at or prior to the effective time of the Transaction, and any reacquisition or repurchase rights held by the Company with respect to such Stock Awards will lapse (contingent upon the effectiveness of the Transaction).</w:t>
      </w:r>
    </w:p>
    <w:p>
      <w:pPr>
        <w:spacing w:after="0" w:line="183" w:lineRule="exact"/>
        <w:rPr>
          <w:rFonts w:ascii="Times New Roman" w:cs="Times New Roman" w:eastAsia="Times New Roman" w:hAnsi="Times New Roman"/>
          <w:sz w:val="21"/>
          <w:szCs w:val="21"/>
          <w:b w:val="1"/>
          <w:bCs w:val="1"/>
          <w:color w:val="auto"/>
        </w:rPr>
      </w:pPr>
    </w:p>
    <w:p>
      <w:pPr>
        <w:jc w:val="both"/>
        <w:ind w:firstLine="1304"/>
        <w:spacing w:after="0" w:line="249" w:lineRule="auto"/>
        <w:tabs>
          <w:tab w:leader="none" w:pos="1869"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Awards Held by Current Participants in Certain Control Acquisitions</w:t>
      </w:r>
      <w:r>
        <w:rPr>
          <w:rFonts w:ascii="Times New Roman" w:cs="Times New Roman" w:eastAsia="Times New Roman" w:hAnsi="Times New Roman"/>
          <w:sz w:val="22"/>
          <w:szCs w:val="22"/>
          <w:color w:val="auto"/>
        </w:rPr>
        <w:t>. In the event of a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Acquisition that was not approved by the Board prior to the consummation of such transaction, then with respect to Stock Awards that are held by Current Participants, the vesting of such Stock Awards (and, with respect to Options and Stock Appreciation Rights, the time when such Stock Awards may be exercised) will be accelerated in full (and with respect to any such Stock Awards that are subject to performance-based vesting conditions or requirements, vesting will be deemed to be satisfied at the target level of performance) to a date prior to the effective time of such Control Acquisition (contingent upon the effectiveness of the Control Acquisition) as the Board will determine (or, if the Board does not determine such a date, to the date that is five days prior to the effective time of the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Acquisition) and any reacquisition or repurchase rights held by the Company with respect to such Stock Awards will lapse (contingent upon the effectiveness of the Control Acquisition).</w:t>
      </w:r>
    </w:p>
    <w:p>
      <w:pPr>
        <w:spacing w:after="0" w:line="154" w:lineRule="exact"/>
        <w:rPr>
          <w:sz w:val="20"/>
          <w:szCs w:val="20"/>
          <w:color w:val="auto"/>
        </w:rPr>
      </w:pPr>
    </w:p>
    <w:p>
      <w:pPr>
        <w:jc w:val="both"/>
        <w:ind w:firstLine="1304"/>
        <w:spacing w:after="0" w:line="252" w:lineRule="auto"/>
        <w:tabs>
          <w:tab w:leader="none" w:pos="1861" w:val="left"/>
        </w:tabs>
        <w:numPr>
          <w:ilvl w:val="2"/>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 Awards Held by Persons other than Current Participants. </w:t>
      </w:r>
      <w:r>
        <w:rPr>
          <w:rFonts w:ascii="Times New Roman" w:cs="Times New Roman" w:eastAsia="Times New Roman" w:hAnsi="Times New Roman"/>
          <w:sz w:val="22"/>
          <w:szCs w:val="22"/>
          <w:color w:val="auto"/>
        </w:rPr>
        <w:t>In the event of a Transaction in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surviving corporation or acquiring corporation (or its parent company) does not assume or continue such outstanding Stock Awards or substitute similar stock awards for such outstanding Stock Awards, then with respect to Stock Awards that have not been assumed, continued or substituted and that are held by persons other than Current Participants, such Stock Awards will terminate if not exercised (if applicable) prior to the effective time of the Transaction;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reacquisition or repurchase rights held by the Company with respect to such Stock Awards will not terminate and may continue to be exercised notwithstanding the Transaction.</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769" w:val="left"/>
        </w:tabs>
        <w:numPr>
          <w:ilvl w:val="2"/>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for Stock Awards in Lieu of Exercise</w:t>
      </w:r>
      <w:r>
        <w:rPr>
          <w:rFonts w:ascii="Times New Roman" w:cs="Times New Roman" w:eastAsia="Times New Roman" w:hAnsi="Times New Roman"/>
          <w:sz w:val="22"/>
          <w:szCs w:val="22"/>
          <w:color w:val="auto"/>
        </w:rPr>
        <w:t>. Notwithstanding the foregoing, in the event a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terminate if not exercised prior to the effective time of a Transaction, the Board may provide that the holder of such Stock Award may not exercise such Stock Award but instead will receive a payment, in such form as may be determined by the Board, equal in value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85" w:lineRule="exact"/>
        <w:rPr>
          <w:rFonts w:ascii="Times New Roman" w:cs="Times New Roman" w:eastAsia="Times New Roman" w:hAnsi="Times New Roman"/>
          <w:sz w:val="22"/>
          <w:szCs w:val="22"/>
          <w:b w:val="1"/>
          <w:bCs w:val="1"/>
          <w:color w:val="auto"/>
        </w:rPr>
      </w:pPr>
    </w:p>
    <w:p>
      <w:pPr>
        <w:jc w:val="both"/>
        <w:ind w:right="20" w:firstLine="656"/>
        <w:spacing w:after="0" w:line="265" w:lineRule="auto"/>
        <w:tabs>
          <w:tab w:leader="none" w:pos="1209"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The provisions of this Section 9(d) will apply to Stock Awards in the event of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unless otherwise provided in the instrument evidencing the Stock Award or any other written arrangement between the Company or any Affiliate and the Participant or in any director compensation policy of the Company.</w:t>
      </w:r>
    </w:p>
    <w:p>
      <w:pPr>
        <w:spacing w:after="0" w:line="165" w:lineRule="exact"/>
        <w:rPr>
          <w:rFonts w:ascii="Times New Roman" w:cs="Times New Roman" w:eastAsia="Times New Roman" w:hAnsi="Times New Roman"/>
          <w:sz w:val="22"/>
          <w:szCs w:val="22"/>
          <w:b w:val="1"/>
          <w:bCs w:val="1"/>
          <w:color w:val="auto"/>
        </w:rPr>
      </w:pPr>
    </w:p>
    <w:p>
      <w:pPr>
        <w:jc w:val="both"/>
        <w:ind w:firstLine="1304"/>
        <w:spacing w:after="0" w:line="260" w:lineRule="auto"/>
        <w:tabs>
          <w:tab w:leader="none" w:pos="1851" w:val="left"/>
        </w:tabs>
        <w:numPr>
          <w:ilvl w:val="2"/>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 Change in Control occurs and within one month before, as of, or within thirteen months after, the effective time of such Change in Control a Participant’s Continuous Service terminates due to an involuntary termination (not including death or Disability) without Cause or due to a voluntary termination with Good Reason, then the vesting of such Stock Awards (and, with respect to Options and Stock Appreciation Rights, the time when such Stock Awards may be exercised) will be accelerated in accordance with the vesting schedule applicable to such Stock Awards as if (A) with respect to any such Stock Awards that are subject to vesting conditions or requirements based solely on such Participant’s Continuous Service, such Participant’s Continuous Service had continued for twelve months following the date of termination of Continuous Service, and</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49" w:lineRule="auto"/>
        <w:tabs>
          <w:tab w:leader="none" w:pos="34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such Stock Awards that are subject to performance-based vesting conditions or requirements, vesting has been satisfied at the target level of performance. Such vesting acceleration will occur on the date of termination of such Participant’s Continuous Service, or if later, the effective date of the Change in Control (if the Participant’s termination of Continuous Service occurs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92" w:lineRule="exact"/>
        <w:rPr>
          <w:sz w:val="20"/>
          <w:szCs w:val="20"/>
          <w:color w:val="auto"/>
        </w:rPr>
      </w:pPr>
    </w:p>
    <w:p>
      <w:pPr>
        <w:jc w:val="both"/>
        <w:ind w:firstLine="1304"/>
        <w:spacing w:after="0" w:line="248" w:lineRule="auto"/>
        <w:tabs>
          <w:tab w:leader="none" w:pos="1911"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payment or benefit a Participant will or may receive from the Company or otherwise (a “</w:t>
      </w:r>
      <w:r>
        <w:rPr>
          <w:rFonts w:ascii="Times New Roman" w:cs="Times New Roman" w:eastAsia="Times New Roman" w:hAnsi="Times New Roman"/>
          <w:sz w:val="22"/>
          <w:szCs w:val="22"/>
          <w:b w:val="1"/>
          <w:bCs w:val="1"/>
          <w:i w:val="1"/>
          <w:iCs w:val="1"/>
          <w:color w:val="auto"/>
        </w:rPr>
        <w:t>280G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(i) constitute a “parachute payment” within the meaning of Section 280G of the Code, and (ii) but for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any such 280G Payment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will be equal to the Reduced Amount. The “</w:t>
      </w:r>
      <w:r>
        <w:rPr>
          <w:rFonts w:ascii="Times New Roman" w:cs="Times New Roman" w:eastAsia="Times New Roman" w:hAnsi="Times New Roman"/>
          <w:sz w:val="22"/>
          <w:szCs w:val="22"/>
          <w:b w:val="1"/>
          <w:bCs w:val="1"/>
          <w:i w:val="1"/>
          <w:iCs w:val="1"/>
          <w:color w:val="auto"/>
        </w:rPr>
        <w:t>Reduced Amount</w:t>
      </w:r>
      <w:r>
        <w:rPr>
          <w:rFonts w:ascii="Times New Roman" w:cs="Times New Roman" w:eastAsia="Times New Roman" w:hAnsi="Times New Roman"/>
          <w:sz w:val="22"/>
          <w:szCs w:val="22"/>
          <w:color w:val="auto"/>
        </w:rPr>
        <w:t>” will be either (x) the largest portion of the Payment that would result in no portion of the Payment (after reduction) being subject to the Excise Tax or (y) the largest portion, up to and including the total, of the Payment, whichever amount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amount determined by clause (x) or by clause (y)), after taking into account all applicable federal, state and local employment taxes, income taxes, and the Excise Tax (all computed at the highest applicable marginal rate), results in the Participant’s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will occur in the manner (the “</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that results in the greatest economic benefit for the Participant. If more than one method of reduction will result in the same economic benefit, the items so reduced will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Notwithstanding any provision of the foregoing paragraph to the contrary,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will be modified so as to avoid the imposition of taxes pursuant to Section 409A of the Code as follows: (A) as a first priority, the modification will preserve to the greatest extent possible, the greatest economic benefit for the Participant as determined on an after-tax basis; (B) as a second priority, Payments that are contingent on future events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being terminated without Cause), will be reduced (or eliminated) before Payments that are not contingent on future events; and (C) as a third priority, Payments that are “deferred compensation” within the meaning of Section 409A of the Code will be reduced (or eliminated) before Payments that are not deferred compensation within the meaning of Section 409A of the Code.</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a Participant receives a Payment for which the Reduced Amount was determined pursuant to clause (x) of the first paragraph of this Section 9(d)(ii) and the Internal Revenue Service determines thereafter that some portion of the Payment is subject to the Excise Tax, the Participant agrees to promptly return to the Company a sufficient amount of the Payment (after reduction pursuant to clause (x) of the first paragraph of this Section 9(d)(ii)) so that no portion of the remaining Payment is subject to the Excise Tax. For the avoidance of doubt, if the Reduced Amount was determined pursuant to clause (y) of the first paragraph of this Section 9(d)(ii), the Participant will have no obligation to return any portion of the Payment pursuant to the preceding sentence.</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the Participant and the Company agree on an alternative accounting firm or law firm, the accounting firm engaged by the Company for general tax compliance purposes as of the day prior to the effective date of the Change in Control will perform the foregoing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If the accounting firm so engaged by the Company is serving as accountant or auditor for the individual, entity or group effecting the Change in Control, the Company will appoint a nationally recognized accounting or law firm to make the determinations required hereunder. The Company will bear all expenses with respect to the determinations by such accounting or law firm required to be made hereunder.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will use commercially reasonable efforts to cause the accounting or law firm engaged to make the determinations hereunder to provide its calculations, together with detailed supporting documentation, to the Participant and the Company within 15 calendar days after the date on which the Participant’s right to a 280G Payment becomes reasonably likely to occur (if requested at that time by the Participant or the Company) or such other time as requested by the Participant or the Company.</w:t>
      </w:r>
    </w:p>
    <w:p>
      <w:pPr>
        <w:spacing w:after="0" w:line="175"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or Suspension of the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130"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or Suspension</w:t>
      </w:r>
      <w:r>
        <w:rPr>
          <w:rFonts w:ascii="Times New Roman" w:cs="Times New Roman" w:eastAsia="Times New Roman" w:hAnsi="Times New Roman"/>
          <w:sz w:val="22"/>
          <w:szCs w:val="22"/>
          <w:color w:val="auto"/>
        </w:rPr>
        <w:t>. The Board may suspend or terminate the Plan at any time. No Incentive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granted after the tenth anniversary of the earlier of (i) the date the Plan is adopted by the Board, or (ii) the date the Plan is approved by the stockholders of the Company. No Awards may be granted under the Plan while the Plan is suspended or after it is terminated.</w:t>
      </w:r>
    </w:p>
    <w:p>
      <w:pPr>
        <w:spacing w:after="0" w:line="188"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167"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Impairment of Rights</w:t>
      </w:r>
      <w:r>
        <w:rPr>
          <w:rFonts w:ascii="Times New Roman" w:cs="Times New Roman" w:eastAsia="Times New Roman" w:hAnsi="Times New Roman"/>
          <w:sz w:val="22"/>
          <w:szCs w:val="22"/>
          <w:color w:val="auto"/>
        </w:rPr>
        <w:t>. Suspension or termination of the Plan will not materially impair rights and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any Award granted while the Plan is in effect except with the written consent of the affected Participant or as otherwise permitted in the Plan.</w:t>
      </w:r>
    </w:p>
    <w:p>
      <w:pPr>
        <w:spacing w:after="0" w:line="166" w:lineRule="exact"/>
        <w:rPr>
          <w:rFonts w:ascii="Times New Roman" w:cs="Times New Roman" w:eastAsia="Times New Roman" w:hAnsi="Times New Roman"/>
          <w:sz w:val="22"/>
          <w:szCs w:val="22"/>
          <w:b w:val="1"/>
          <w:bCs w:val="1"/>
          <w:color w:val="auto"/>
        </w:rPr>
      </w:pPr>
    </w:p>
    <w:p>
      <w:pPr>
        <w:ind w:left="480" w:hanging="472"/>
        <w:spacing w:after="0"/>
        <w:tabs>
          <w:tab w:leader="none" w:pos="4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 of Plan</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Plan will become effective on the Effective Date.</w:t>
      </w:r>
    </w:p>
    <w:p>
      <w:pPr>
        <w:spacing w:after="0" w:line="229" w:lineRule="exact"/>
        <w:rPr>
          <w:sz w:val="20"/>
          <w:szCs w:val="20"/>
          <w:color w:val="auto"/>
        </w:rPr>
      </w:pPr>
    </w:p>
    <w:p>
      <w:pPr>
        <w:ind w:left="500" w:hanging="492"/>
        <w:spacing w:after="0"/>
        <w:tabs>
          <w:tab w:leader="none" w:pos="50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laws of the State of California will govern all questions concerning the construction, validity and interpretation of this Plan, without regard to that state’s conflict of laws rules.</w:t>
      </w:r>
    </w:p>
    <w:p>
      <w:pPr>
        <w:spacing w:after="0" w:line="154" w:lineRule="exact"/>
        <w:rPr>
          <w:sz w:val="20"/>
          <w:szCs w:val="20"/>
          <w:color w:val="auto"/>
        </w:rPr>
      </w:pPr>
    </w:p>
    <w:p>
      <w:pPr>
        <w:ind w:left="500" w:hanging="492"/>
        <w:spacing w:after="0"/>
        <w:tabs>
          <w:tab w:leader="none" w:pos="50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As used in the Plan, the following definitions will apply to the capitalized terms indicated below:</w:t>
      </w:r>
    </w:p>
    <w:p>
      <w:pPr>
        <w:spacing w:after="0" w:line="217"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210"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157"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means a Stock Award or a Performance Cash Award.</w:t>
      </w:r>
    </w:p>
    <w:p>
      <w:pPr>
        <w:spacing w:after="0" w:line="219" w:lineRule="exact"/>
        <w:rPr>
          <w:rFonts w:ascii="Times New Roman" w:cs="Times New Roman" w:eastAsia="Times New Roman" w:hAnsi="Times New Roman"/>
          <w:sz w:val="22"/>
          <w:szCs w:val="22"/>
          <w:b w:val="1"/>
          <w:bCs w:val="1"/>
          <w:color w:val="auto"/>
        </w:rPr>
      </w:pPr>
    </w:p>
    <w:p>
      <w:pPr>
        <w:ind w:right="20" w:firstLine="656"/>
        <w:spacing w:after="0" w:line="276" w:lineRule="auto"/>
        <w:tabs>
          <w:tab w:leader="none" w:pos="1144"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means a written agreement between the Company and a Participant evidencing the terms and conditions of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92" w:lineRule="exact"/>
        <w:rPr>
          <w:sz w:val="20"/>
          <w:szCs w:val="20"/>
          <w:color w:val="auto"/>
        </w:rPr>
      </w:pPr>
    </w:p>
    <w:p>
      <w:pPr>
        <w:ind w:left="1140" w:hanging="484"/>
        <w:spacing w:after="0"/>
        <w:tabs>
          <w:tab w:leader="none" w:pos="11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25"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Capitalization Adjustment</w:t>
      </w:r>
      <w:r>
        <w:rPr>
          <w:rFonts w:ascii="Times New Roman" w:cs="Times New Roman" w:eastAsia="Times New Roman" w:hAnsi="Times New Roman"/>
          <w:sz w:val="22"/>
          <w:szCs w:val="22"/>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78" w:lineRule="exact"/>
        <w:rPr>
          <w:rFonts w:ascii="Times New Roman" w:cs="Times New Roman" w:eastAsia="Times New Roman" w:hAnsi="Times New Roman"/>
          <w:sz w:val="22"/>
          <w:szCs w:val="22"/>
          <w:b w:val="1"/>
          <w:bCs w:val="1"/>
          <w:color w:val="auto"/>
        </w:rPr>
      </w:pPr>
    </w:p>
    <w:p>
      <w:pPr>
        <w:jc w:val="both"/>
        <w:ind w:firstLine="656"/>
        <w:spacing w:after="0" w:line="260" w:lineRule="auto"/>
        <w:tabs>
          <w:tab w:leader="none" w:pos="1188"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will have the meaning ascribed to such term in any written agreement between the Participant and the Company or an Affiliate defining such term and, in the absence of such agreement, such term will mean, with respect to a Participant, the occurrence of any of the following events: (i) such Participant’s conviction of, or plea of no contest with respect to, any crime involving fraud, dishonesty or moral turpitude; (ii) such Participant’s attempted commission of or participation in a fraud or act of dishonesty against the Company or an Affiliate that results in (or might have reasonably resulted in) material harm to the business of the Company or an Affiliate; (iii) such Participant’s intentional, material violation of any contract or agreement between the Participant and the Company or an Affiliate, or any statutory duty the Participant owes to the Company or an Affiliate; or (iv) such Participant’s conduct that constitutes gross misconduct, insubordination, incompetence or habitual neglect of duties and that results in (or might have reasonably resulted in) material harm to the business of the Company or an Affiliate. The determination that a termination of a Participant’s Continuous Service is for Cause will not be made unless and until there will have been delivered to such Participant a copy of a resolution duly adopted by the affirmative vote of at least a majority of the Board at a meeting of the Board called and held for such purpose (after reasonable notice to such Participant and an opportunity for such Participant, together with such Participant’s counsel, to be heard before the Board), finding that in the good faith opinion of the Board, such Participant was guilty of the conduct constituting “Cause” and specifying the particulars. Any determination by the Company that the Continuous Service of a Participant was terminated with or without Cause for the purposes of outstanding Awards held by such Participant will have no effect upon any determination of the rights or obligations of the Company or an Affiliate or such Participant for any other purpose.</w:t>
      </w:r>
    </w:p>
    <w:p>
      <w:pPr>
        <w:spacing w:after="0" w:line="169" w:lineRule="exact"/>
        <w:rPr>
          <w:rFonts w:ascii="Times New Roman" w:cs="Times New Roman" w:eastAsia="Times New Roman" w:hAnsi="Times New Roman"/>
          <w:sz w:val="21"/>
          <w:szCs w:val="21"/>
          <w:b w:val="1"/>
          <w:bCs w:val="1"/>
          <w:color w:val="auto"/>
        </w:rPr>
      </w:pPr>
    </w:p>
    <w:p>
      <w:pPr>
        <w:ind w:right="20" w:firstLine="656"/>
        <w:spacing w:after="0" w:line="276" w:lineRule="auto"/>
        <w:tabs>
          <w:tab w:leader="none" w:pos="115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consummation, in a single transaction or in a series of related transactions, of any one or more of the following events:</w:t>
      </w:r>
    </w:p>
    <w:p>
      <w:pPr>
        <w:spacing w:after="0" w:line="153" w:lineRule="exact"/>
        <w:rPr>
          <w:rFonts w:ascii="Times New Roman" w:cs="Times New Roman" w:eastAsia="Times New Roman" w:hAnsi="Times New Roman"/>
          <w:sz w:val="22"/>
          <w:szCs w:val="22"/>
          <w:b w:val="1"/>
          <w:bCs w:val="1"/>
          <w:color w:val="auto"/>
        </w:rPr>
      </w:pPr>
    </w:p>
    <w:p>
      <w:pPr>
        <w:ind w:left="1720" w:hanging="416"/>
        <w:spacing w:after="0"/>
        <w:tabs>
          <w:tab w:leader="none" w:pos="172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lease or other disposition of all or substantially all of the assets of the Company;</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63" w:lineRule="auto"/>
        <w:tabs>
          <w:tab w:leader="none" w:pos="1816"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acquisition by any Exchange Act Person of the beneficial ownership (within the meaning of Rule 13d-3 promulgated under the Exchange Act, or comparable successor rule) of securities of the Company representing at least 50% of the combined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 entitled to vote in the election of Directors other than by virtue of a merger, consolidation or similar transaction;</w:t>
      </w:r>
    </w:p>
    <w:p>
      <w:pPr>
        <w:spacing w:after="0" w:line="220" w:lineRule="exact"/>
        <w:rPr>
          <w:sz w:val="20"/>
          <w:szCs w:val="20"/>
          <w:color w:val="auto"/>
        </w:rPr>
      </w:pPr>
    </w:p>
    <w:p>
      <w:pPr>
        <w:ind w:left="1840" w:hanging="536"/>
        <w:spacing w:after="0"/>
        <w:tabs>
          <w:tab w:leader="none" w:pos="184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in which the Company is not the surviving corporation; or</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81" w:lineRule="auto"/>
        <w:tabs>
          <w:tab w:leader="none" w:pos="1824"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reverse merger, consolidation or similar transaction in which the Company is the surviving corporation but the shares of Common Stock outstanding immediately preceding the merger, consolidation or similar transaction are converted by virtue of the merger, consolidation or similar transaction into other property, whether in the form of securities, cash or otherwise.</w:t>
      </w:r>
    </w:p>
    <w:p>
      <w:pPr>
        <w:spacing w:after="0" w:line="151"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Notwithstanding the foregoing definition or any other provision of this Plan, the term Change in Control will not include a sale of assets, merger or other transaction effected exclusively for the purpose of changing the domicile of the Company.</w:t>
      </w:r>
    </w:p>
    <w:p>
      <w:pPr>
        <w:spacing w:after="0" w:line="129" w:lineRule="exact"/>
        <w:rPr>
          <w:sz w:val="20"/>
          <w:szCs w:val="20"/>
          <w:color w:val="auto"/>
        </w:rPr>
      </w:pPr>
    </w:p>
    <w:p>
      <w:pPr>
        <w:ind w:left="1180" w:hanging="524"/>
        <w:spacing w:after="0"/>
        <w:tabs>
          <w:tab w:leader="none" w:pos="118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Internal Revenue Code of 1986, as amended, including any applicable regulations and guidance</w:t>
      </w:r>
    </w:p>
    <w:p>
      <w:pPr>
        <w:spacing w:after="0" w:line="46"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thereunder.</w:t>
      </w:r>
    </w:p>
    <w:p>
      <w:pPr>
        <w:spacing w:after="0" w:line="201" w:lineRule="exact"/>
        <w:rPr>
          <w:rFonts w:ascii="Times New Roman" w:cs="Times New Roman" w:eastAsia="Times New Roman" w:hAnsi="Times New Roman"/>
          <w:sz w:val="21"/>
          <w:szCs w:val="21"/>
          <w:b w:val="1"/>
          <w:bCs w:val="1"/>
          <w:color w:val="auto"/>
        </w:rPr>
      </w:pPr>
    </w:p>
    <w:p>
      <w:pPr>
        <w:ind w:right="20" w:firstLine="656"/>
        <w:spacing w:after="0" w:line="276" w:lineRule="auto"/>
        <w:tabs>
          <w:tab w:leader="none" w:pos="1135"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a committee of one or more Directors to whom authority has been delegated by the Board in accordance with Section 2(c).</w:t>
      </w:r>
    </w:p>
    <w:p>
      <w:pPr>
        <w:spacing w:after="0" w:line="147" w:lineRule="exact"/>
        <w:rPr>
          <w:rFonts w:ascii="Times New Roman" w:cs="Times New Roman" w:eastAsia="Times New Roman" w:hAnsi="Times New Roman"/>
          <w:sz w:val="22"/>
          <w:szCs w:val="22"/>
          <w:b w:val="1"/>
          <w:bCs w:val="1"/>
          <w:color w:val="auto"/>
        </w:rPr>
      </w:pPr>
    </w:p>
    <w:p>
      <w:pPr>
        <w:ind w:left="1080" w:hanging="424"/>
        <w:spacing w:after="0"/>
        <w:tabs>
          <w:tab w:leader="none" w:pos="108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the common stock of the Company.</w:t>
      </w:r>
    </w:p>
    <w:p>
      <w:pPr>
        <w:spacing w:after="0" w:line="219"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Exelixis, Inc., a Delaware corporation.</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108"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88"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35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Continuous Service</w:t>
      </w:r>
      <w:r>
        <w:rPr>
          <w:rFonts w:ascii="Times New Roman" w:cs="Times New Roman" w:eastAsia="Times New Roman" w:hAnsi="Times New Roman"/>
          <w:sz w:val="22"/>
          <w:szCs w:val="22"/>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or Affiliate’s leave of absence policy, in the written terms of any leave of absence agreement or policy applicable to the Participant, or as otherwise required by law.</w:t>
      </w:r>
    </w:p>
    <w:p>
      <w:pPr>
        <w:spacing w:after="0" w:line="174" w:lineRule="exact"/>
        <w:rPr>
          <w:sz w:val="20"/>
          <w:szCs w:val="20"/>
          <w:color w:val="auto"/>
        </w:rPr>
      </w:pPr>
    </w:p>
    <w:p>
      <w:pPr>
        <w:ind w:firstLine="656"/>
        <w:spacing w:after="0" w:line="289" w:lineRule="auto"/>
        <w:tabs>
          <w:tab w:leader="none" w:pos="116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the consummation, in a single transaction or in a series of related transactions, of any one or more of the following events:</w:t>
      </w:r>
    </w:p>
    <w:p>
      <w:pPr>
        <w:spacing w:after="0" w:line="139" w:lineRule="exact"/>
        <w:rPr>
          <w:rFonts w:ascii="Times New Roman" w:cs="Times New Roman" w:eastAsia="Times New Roman" w:hAnsi="Times New Roman"/>
          <w:sz w:val="22"/>
          <w:szCs w:val="22"/>
          <w:b w:val="1"/>
          <w:bCs w:val="1"/>
          <w:color w:val="auto"/>
        </w:rPr>
      </w:pPr>
    </w:p>
    <w:p>
      <w:pPr>
        <w:ind w:left="1720" w:hanging="416"/>
        <w:spacing w:after="0"/>
        <w:tabs>
          <w:tab w:leader="none" w:pos="1720"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lease or other disposition of all or substantially all of the assets of the Company;</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816"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acquisition by any Exchange Act Person of the beneficial ownership (within the meaning of Rule 13d-3 promulgated under the Exchange Act, or comparable successor rule) of securities of the Company representing at least 50% of the combined voting power entitled to vote in the election of Directors (a “</w:t>
      </w:r>
      <w:r>
        <w:rPr>
          <w:rFonts w:ascii="Times New Roman" w:cs="Times New Roman" w:eastAsia="Times New Roman" w:hAnsi="Times New Roman"/>
          <w:sz w:val="22"/>
          <w:szCs w:val="22"/>
          <w:b w:val="1"/>
          <w:bCs w:val="1"/>
          <w:i w:val="1"/>
          <w:iCs w:val="1"/>
          <w:color w:val="auto"/>
        </w:rPr>
        <w:t>Control Acquisition</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b w:val="1"/>
          <w:bCs w:val="1"/>
          <w:color w:val="auto"/>
        </w:rPr>
      </w:pPr>
    </w:p>
    <w:p>
      <w:pPr>
        <w:ind w:left="1840" w:hanging="536"/>
        <w:spacing w:after="0"/>
        <w:tabs>
          <w:tab w:leader="none" w:pos="1840"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in which the Company is not the surviving corporation; or</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75" w:lineRule="auto"/>
        <w:tabs>
          <w:tab w:leader="none" w:pos="1824" w:val="left"/>
        </w:tabs>
        <w:numPr>
          <w:ilvl w:val="1"/>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reverse merger, consolidation or similar transaction in which the Company is the surviving corporation but the shares of Common Stock outstanding immediately preceding the merger, consolidation or similar transaction are converted by virtue of the merger, consolidation or similar transaction into other property, whether in the form of securities, cash or otherwise.</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the foregoing definition or any other provision of this Plan, the terms Corporate Transaction and Control Acquisition will not include a sale of assets, merger or other transaction effected exclusively for the purpose of changing the domicile of the Company.</w:t>
      </w:r>
    </w:p>
    <w:p>
      <w:pPr>
        <w:spacing w:after="0" w:line="161" w:lineRule="exact"/>
        <w:rPr>
          <w:sz w:val="20"/>
          <w:szCs w:val="20"/>
          <w:color w:val="auto"/>
        </w:rPr>
      </w:pPr>
    </w:p>
    <w:p>
      <w:pPr>
        <w:ind w:left="1120" w:hanging="464"/>
        <w:spacing w:after="0"/>
        <w:tabs>
          <w:tab w:leader="none" w:pos="11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Employee</w:t>
      </w:r>
      <w:r>
        <w:rPr>
          <w:rFonts w:ascii="Times New Roman" w:cs="Times New Roman" w:eastAsia="Times New Roman" w:hAnsi="Times New Roman"/>
          <w:sz w:val="22"/>
          <w:szCs w:val="22"/>
          <w:color w:val="auto"/>
        </w:rPr>
        <w:t>” will have the meaning provided in Section 162(m)(3) of the Code.</w:t>
      </w:r>
    </w:p>
    <w:p>
      <w:pPr>
        <w:spacing w:after="0" w:line="219"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49"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92" w:lineRule="exact"/>
        <w:rPr>
          <w:sz w:val="20"/>
          <w:szCs w:val="20"/>
          <w:color w:val="auto"/>
        </w:rPr>
      </w:pPr>
    </w:p>
    <w:p>
      <w:pPr>
        <w:ind w:left="1120" w:hanging="464"/>
        <w:spacing w:after="0"/>
        <w:tabs>
          <w:tab w:leader="none" w:pos="1120"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means May 24, 2017.</w:t>
      </w:r>
    </w:p>
    <w:p>
      <w:pPr>
        <w:spacing w:after="0" w:line="219" w:lineRule="exact"/>
        <w:rPr>
          <w:rFonts w:ascii="Times New Roman" w:cs="Times New Roman" w:eastAsia="Times New Roman" w:hAnsi="Times New Roman"/>
          <w:sz w:val="22"/>
          <w:szCs w:val="22"/>
          <w:b w:val="1"/>
          <w:bCs w:val="1"/>
          <w:color w:val="auto"/>
        </w:rPr>
      </w:pPr>
    </w:p>
    <w:p>
      <w:pPr>
        <w:ind w:firstLine="656"/>
        <w:spacing w:after="0" w:line="276" w:lineRule="auto"/>
        <w:tabs>
          <w:tab w:leader="none" w:pos="1119"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means any person employed by the Company or an Affiliate. However, service solely as a Director, or payment of a fee for such services, will not cause a Director to be considered an “Employee” for purposes of the Plan.</w:t>
      </w:r>
    </w:p>
    <w:p>
      <w:pPr>
        <w:spacing w:after="0" w:line="160" w:lineRule="exact"/>
        <w:rPr>
          <w:rFonts w:ascii="Times New Roman" w:cs="Times New Roman" w:eastAsia="Times New Roman" w:hAnsi="Times New Roman"/>
          <w:sz w:val="22"/>
          <w:szCs w:val="22"/>
          <w:b w:val="1"/>
          <w:bCs w:val="1"/>
          <w:color w:val="auto"/>
        </w:rPr>
      </w:pPr>
    </w:p>
    <w:p>
      <w:pPr>
        <w:ind w:left="1080" w:hanging="424"/>
        <w:spacing w:after="0"/>
        <w:tabs>
          <w:tab w:leader="none" w:pos="1080"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Entity</w:t>
      </w:r>
      <w:r>
        <w:rPr>
          <w:rFonts w:ascii="Times New Roman" w:cs="Times New Roman" w:eastAsia="Times New Roman" w:hAnsi="Times New Roman"/>
          <w:sz w:val="22"/>
          <w:szCs w:val="22"/>
          <w:color w:val="auto"/>
        </w:rPr>
        <w:t>” means a corporation, partnership, limited liability company or other entity.</w:t>
      </w:r>
    </w:p>
    <w:p>
      <w:pPr>
        <w:spacing w:after="0" w:line="219" w:lineRule="exact"/>
        <w:rPr>
          <w:rFonts w:ascii="Times New Roman" w:cs="Times New Roman" w:eastAsia="Times New Roman" w:hAnsi="Times New Roman"/>
          <w:sz w:val="22"/>
          <w:szCs w:val="22"/>
          <w:b w:val="1"/>
          <w:bCs w:val="1"/>
          <w:color w:val="auto"/>
        </w:rPr>
      </w:pPr>
    </w:p>
    <w:p>
      <w:pPr>
        <w:ind w:firstLine="656"/>
        <w:spacing w:after="0" w:line="276" w:lineRule="auto"/>
        <w:tabs>
          <w:tab w:leader="none" w:pos="1357"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70" w:lineRule="auto"/>
        <w:tabs>
          <w:tab w:leader="none" w:pos="1129" w:val="left"/>
        </w:tabs>
        <w:numPr>
          <w:ilvl w:val="1"/>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 Person</w:t>
      </w:r>
      <w:r>
        <w:rPr>
          <w:rFonts w:ascii="Times New Roman" w:cs="Times New Roman" w:eastAsia="Times New Roman" w:hAnsi="Times New Roman"/>
          <w:sz w:val="21"/>
          <w:szCs w:val="21"/>
          <w:color w:val="auto"/>
        </w:rPr>
        <w:t>” means any natural person, Entity or “group” (within the meaning of Section 13(d) or 14(d) of the Exchange Act), except that “Exchange Act Person” will not include (i) the Company or any Subsidiary of the Company,</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48" w:lineRule="auto"/>
        <w:tabs>
          <w:tab w:leader="none" w:pos="35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6"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as of any date, the value of the Common Stock determined as follows:</w:t>
      </w:r>
    </w:p>
    <w:p>
      <w:pPr>
        <w:spacing w:after="0" w:line="225" w:lineRule="exact"/>
        <w:rPr>
          <w:rFonts w:ascii="Times New Roman" w:cs="Times New Roman" w:eastAsia="Times New Roman" w:hAnsi="Times New Roman"/>
          <w:sz w:val="22"/>
          <w:szCs w:val="22"/>
          <w:b w:val="1"/>
          <w:bCs w:val="1"/>
          <w:color w:val="auto"/>
        </w:rPr>
      </w:pPr>
    </w:p>
    <w:p>
      <w:pPr>
        <w:jc w:val="both"/>
        <w:ind w:firstLine="1304"/>
        <w:spacing w:after="0" w:line="256" w:lineRule="auto"/>
        <w:tabs>
          <w:tab w:leader="none" w:pos="1783" w:val="left"/>
        </w:tabs>
        <w:numPr>
          <w:ilvl w:val="2"/>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76"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789" w:val="left"/>
        </w:tabs>
        <w:numPr>
          <w:ilvl w:val="2"/>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72" w:lineRule="exact"/>
        <w:rPr>
          <w:rFonts w:ascii="Times New Roman" w:cs="Times New Roman" w:eastAsia="Times New Roman" w:hAnsi="Times New Roman"/>
          <w:sz w:val="22"/>
          <w:szCs w:val="22"/>
          <w:b w:val="1"/>
          <w:bCs w:val="1"/>
          <w:color w:val="auto"/>
        </w:rPr>
      </w:pPr>
    </w:p>
    <w:p>
      <w:pPr>
        <w:ind w:firstLine="1304"/>
        <w:spacing w:after="0" w:line="284" w:lineRule="auto"/>
        <w:tabs>
          <w:tab w:leader="none" w:pos="1917" w:val="left"/>
        </w:tabs>
        <w:numPr>
          <w:ilvl w:val="2"/>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absence of such markets for the Common Stock, the Fair Market Value will be determined by the Board in good faith and in a manner that complies with Sections 409A and 422 of the Code.</w:t>
      </w:r>
    </w:p>
    <w:p>
      <w:pPr>
        <w:spacing w:after="0" w:line="137" w:lineRule="exact"/>
        <w:rPr>
          <w:rFonts w:ascii="Times New Roman" w:cs="Times New Roman" w:eastAsia="Times New Roman" w:hAnsi="Times New Roman"/>
          <w:sz w:val="22"/>
          <w:szCs w:val="22"/>
          <w:b w:val="1"/>
          <w:bCs w:val="1"/>
          <w:color w:val="auto"/>
        </w:rPr>
      </w:pPr>
    </w:p>
    <w:p>
      <w:pPr>
        <w:ind w:firstLine="656"/>
        <w:spacing w:after="0" w:line="276" w:lineRule="auto"/>
        <w:tabs>
          <w:tab w:leader="none" w:pos="1129"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Full Value Award</w:t>
      </w:r>
      <w:r>
        <w:rPr>
          <w:rFonts w:ascii="Times New Roman" w:cs="Times New Roman" w:eastAsia="Times New Roman" w:hAnsi="Times New Roman"/>
          <w:sz w:val="22"/>
          <w:szCs w:val="22"/>
          <w:color w:val="auto"/>
        </w:rPr>
        <w:t>” means a Stock Award that is not an Option or SAR with respect to which the exercise or strike price is at least 100% of the Fair Market Value of the Common Stock subject to the Option or SAR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92" w:lineRule="exact"/>
        <w:rPr>
          <w:sz w:val="20"/>
          <w:szCs w:val="20"/>
          <w:color w:val="auto"/>
        </w:rPr>
      </w:pPr>
    </w:p>
    <w:p>
      <w:pPr>
        <w:ind w:firstLine="656"/>
        <w:spacing w:after="0" w:line="276" w:lineRule="auto"/>
        <w:tabs>
          <w:tab w:leader="none" w:pos="1129"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that one or more of the following are undertaken by the Company or an Affiliate without the Participant’s express written consent:</w:t>
      </w:r>
    </w:p>
    <w:p>
      <w:pPr>
        <w:spacing w:after="0" w:line="153" w:lineRule="exact"/>
        <w:rPr>
          <w:rFonts w:ascii="Times New Roman" w:cs="Times New Roman" w:eastAsia="Times New Roman" w:hAnsi="Times New Roman"/>
          <w:sz w:val="22"/>
          <w:szCs w:val="22"/>
          <w:b w:val="1"/>
          <w:bCs w:val="1"/>
          <w:color w:val="auto"/>
        </w:rPr>
      </w:pPr>
    </w:p>
    <w:p>
      <w:pPr>
        <w:ind w:right="20" w:firstLine="1304"/>
        <w:spacing w:after="0" w:line="284" w:lineRule="auto"/>
        <w:tabs>
          <w:tab w:leader="none" w:pos="1729"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reduction of such Participant’s rate of compensation as in effect immediately prior to a Change in Control by greater than 10%, except to the extent the compensation of other similarly situated persons are accordingly reduced;</w:t>
      </w:r>
    </w:p>
    <w:p>
      <w:pPr>
        <w:spacing w:after="0" w:line="143" w:lineRule="exact"/>
        <w:rPr>
          <w:rFonts w:ascii="Times New Roman" w:cs="Times New Roman" w:eastAsia="Times New Roman" w:hAnsi="Times New Roman"/>
          <w:sz w:val="22"/>
          <w:szCs w:val="22"/>
          <w:b w:val="1"/>
          <w:bCs w:val="1"/>
          <w:color w:val="auto"/>
        </w:rPr>
      </w:pPr>
    </w:p>
    <w:p>
      <w:pPr>
        <w:jc w:val="both"/>
        <w:ind w:firstLine="1304"/>
        <w:spacing w:after="0" w:line="253" w:lineRule="auto"/>
        <w:tabs>
          <w:tab w:leader="none" w:pos="1857"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failure to provide a package of welfare benefit plans that, taken as a whole, provide substantially similar benefits to those in which such Participant is entitled to participate immediately prior to a Change in Control (except that such Participant’s contributions may be raised to the extent of any cost increases imposed by third parties) or any action by the Company or an Affiliate that would adversely affect such Participant’s participation or reduce such Participant’s benefits under any of such plans;</w:t>
      </w:r>
    </w:p>
    <w:p>
      <w:pPr>
        <w:spacing w:after="0" w:line="178"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863"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change in such Participant’s responsibilities, authority, titles or offices resulting in diminution of position, excluding for this purpose an isolated, insubstantial and inadvertent action not taken in bad faith that is remedied by the Company or an Affiliate promptly after notice thereof is given by such person;</w:t>
      </w:r>
    </w:p>
    <w:p>
      <w:pPr>
        <w:spacing w:after="0" w:line="172"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837"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request that such Participant relocate to a worksite that is more than 50 miles from such Participant’s prior worksite, unless such person accepts such relocation opportunity;</w:t>
      </w:r>
    </w:p>
    <w:p>
      <w:pPr>
        <w:spacing w:after="0" w:line="171" w:lineRule="exact"/>
        <w:rPr>
          <w:rFonts w:ascii="Times New Roman" w:cs="Times New Roman" w:eastAsia="Times New Roman" w:hAnsi="Times New Roman"/>
          <w:sz w:val="22"/>
          <w:szCs w:val="22"/>
          <w:b w:val="1"/>
          <w:bCs w:val="1"/>
          <w:color w:val="auto"/>
        </w:rPr>
      </w:pPr>
    </w:p>
    <w:p>
      <w:pPr>
        <w:ind w:left="1780" w:hanging="476"/>
        <w:spacing w:after="0"/>
        <w:tabs>
          <w:tab w:leader="none" w:pos="1780"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material reduction in duties;</w:t>
      </w:r>
    </w:p>
    <w:p>
      <w:pPr>
        <w:spacing w:after="0" w:line="219"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18"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failure or refusal of any successor company to assume the obligations of the Company or an Affiliate under an agreement with such Participant; or</w:t>
      </w:r>
    </w:p>
    <w:p>
      <w:pPr>
        <w:spacing w:after="0" w:line="157"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material breach by the Company or an Affiliate of any of the material provisions of an agreement with</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such Participant.</w:t>
      </w:r>
    </w:p>
    <w:p>
      <w:pPr>
        <w:spacing w:after="0" w:line="20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the foregoing, a Participant will have “Good Reason” for his or her resignation only if: (a) such Participant notifies the Company in writing, within 30 days after the occurrence of one of the foregoing event(s), specifying the event(s) constituting Good Reason and that he or she intends to terminate his or her employment no earlier than 30 days after providing such notice; (b) the Company does not cure such condition within 30 days following its receipt of such notice or states unequivocally in writing that it does not intend to attempt to cure such condition; and (c) the Participant resigns from employment within 30 days following the end of the period within which the Company was entitled to remedy the condition constituting Good Reason but failed to do so.</w:t>
      </w:r>
    </w:p>
    <w:p>
      <w:pPr>
        <w:spacing w:after="0" w:line="174" w:lineRule="exact"/>
        <w:rPr>
          <w:sz w:val="20"/>
          <w:szCs w:val="20"/>
          <w:color w:val="auto"/>
        </w:rPr>
      </w:pPr>
    </w:p>
    <w:p>
      <w:pPr>
        <w:ind w:firstLine="656"/>
        <w:spacing w:after="0" w:line="276" w:lineRule="auto"/>
        <w:tabs>
          <w:tab w:leader="none" w:pos="1117"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Stock Option</w:t>
      </w:r>
      <w:r>
        <w:rPr>
          <w:rFonts w:ascii="Times New Roman" w:cs="Times New Roman" w:eastAsia="Times New Roman" w:hAnsi="Times New Roman"/>
          <w:sz w:val="22"/>
          <w:szCs w:val="22"/>
          <w:color w:val="auto"/>
        </w:rPr>
        <w:t>” means an option granted pursuant to Section 5 that is intended to be, and that qualifies as, an “incentive stock option” within the meaning of Section 422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92" w:lineRule="exact"/>
        <w:rPr>
          <w:sz w:val="20"/>
          <w:szCs w:val="20"/>
          <w:color w:val="auto"/>
        </w:rPr>
      </w:pPr>
    </w:p>
    <w:p>
      <w:pPr>
        <w:jc w:val="both"/>
        <w:ind w:firstLine="656"/>
        <w:spacing w:after="0" w:line="251" w:lineRule="auto"/>
        <w:tabs>
          <w:tab w:leader="none" w:pos="1251"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2"/>
          <w:szCs w:val="22"/>
          <w:b w:val="1"/>
          <w:bCs w:val="1"/>
          <w:i w:val="1"/>
          <w:iCs w:val="1"/>
          <w:color w:val="auto"/>
        </w:rPr>
        <w:t>Regulation S-K</w:t>
      </w:r>
      <w:r>
        <w:rPr>
          <w:rFonts w:ascii="Times New Roman" w:cs="Times New Roman" w:eastAsia="Times New Roman" w:hAnsi="Times New Roman"/>
          <w:sz w:val="22"/>
          <w:szCs w:val="22"/>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2" w:lineRule="exact"/>
        <w:rPr>
          <w:rFonts w:ascii="Times New Roman" w:cs="Times New Roman" w:eastAsia="Times New Roman" w:hAnsi="Times New Roman"/>
          <w:sz w:val="22"/>
          <w:szCs w:val="22"/>
          <w:b w:val="1"/>
          <w:bCs w:val="1"/>
          <w:color w:val="auto"/>
        </w:rPr>
      </w:pPr>
    </w:p>
    <w:p>
      <w:pPr>
        <w:ind w:left="1260" w:hanging="604"/>
        <w:spacing w:after="0"/>
        <w:tabs>
          <w:tab w:leader="none" w:pos="1260"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Nonstatutory Stock Option</w:t>
      </w:r>
      <w:r>
        <w:rPr>
          <w:rFonts w:ascii="Times New Roman" w:cs="Times New Roman" w:eastAsia="Times New Roman" w:hAnsi="Times New Roman"/>
          <w:sz w:val="21"/>
          <w:szCs w:val="21"/>
          <w:color w:val="auto"/>
        </w:rPr>
        <w:t>” means any option granted pursuant to Section 5 that does not qualify as an Incentive</w:t>
      </w:r>
    </w:p>
    <w:p>
      <w:pPr>
        <w:spacing w:after="0" w:line="46"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Stock Option.</w:t>
      </w:r>
    </w:p>
    <w:p>
      <w:pPr>
        <w:spacing w:after="0" w:line="201" w:lineRule="exact"/>
        <w:rPr>
          <w:rFonts w:ascii="Times New Roman" w:cs="Times New Roman" w:eastAsia="Times New Roman" w:hAnsi="Times New Roman"/>
          <w:sz w:val="21"/>
          <w:szCs w:val="21"/>
          <w:b w:val="1"/>
          <w:bCs w:val="1"/>
          <w:color w:val="auto"/>
        </w:rPr>
      </w:pPr>
    </w:p>
    <w:p>
      <w:pPr>
        <w:ind w:left="1200" w:hanging="544"/>
        <w:spacing w:after="0"/>
        <w:tabs>
          <w:tab w:leader="none" w:pos="1200"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Officer</w:t>
      </w:r>
      <w:r>
        <w:rPr>
          <w:rFonts w:ascii="Times New Roman" w:cs="Times New Roman" w:eastAsia="Times New Roman" w:hAnsi="Times New Roman"/>
          <w:sz w:val="21"/>
          <w:szCs w:val="21"/>
          <w:color w:val="auto"/>
        </w:rPr>
        <w:t>” means a person who is an officer of the Company within the meaning of Section 16 of the Exchange Act.</w:t>
      </w:r>
    </w:p>
    <w:p>
      <w:pPr>
        <w:spacing w:after="0" w:line="231" w:lineRule="exact"/>
        <w:rPr>
          <w:rFonts w:ascii="Times New Roman" w:cs="Times New Roman" w:eastAsia="Times New Roman" w:hAnsi="Times New Roman"/>
          <w:sz w:val="21"/>
          <w:szCs w:val="21"/>
          <w:b w:val="1"/>
          <w:bCs w:val="1"/>
          <w:color w:val="auto"/>
        </w:rPr>
      </w:pPr>
    </w:p>
    <w:p>
      <w:pPr>
        <w:ind w:firstLine="656"/>
        <w:spacing w:after="0" w:line="276" w:lineRule="auto"/>
        <w:tabs>
          <w:tab w:leader="none" w:pos="1289"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means an Incentive Stock Option or a Nonstatutory Stock Option to purchase shares of Common Stock granted pursuant to the Plan.</w:t>
      </w:r>
    </w:p>
    <w:p>
      <w:pPr>
        <w:spacing w:after="0" w:line="147" w:lineRule="exact"/>
        <w:rPr>
          <w:rFonts w:ascii="Times New Roman" w:cs="Times New Roman" w:eastAsia="Times New Roman" w:hAnsi="Times New Roman"/>
          <w:sz w:val="22"/>
          <w:szCs w:val="22"/>
          <w:b w:val="1"/>
          <w:bCs w:val="1"/>
          <w:color w:val="auto"/>
        </w:rPr>
      </w:pPr>
    </w:p>
    <w:p>
      <w:pPr>
        <w:ind w:right="20" w:firstLine="656"/>
        <w:spacing w:after="0" w:line="276" w:lineRule="auto"/>
        <w:tabs>
          <w:tab w:leader="none" w:pos="1227"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Agreement</w:t>
      </w:r>
      <w:r>
        <w:rPr>
          <w:rFonts w:ascii="Times New Roman" w:cs="Times New Roman" w:eastAsia="Times New Roman" w:hAnsi="Times New Roman"/>
          <w:sz w:val="22"/>
          <w:szCs w:val="22"/>
          <w:color w:val="auto"/>
        </w:rPr>
        <w:t>” means a written agreement between the Company and an Optionholder evidencing the terms and conditions of an Option grant. Each Option Agreement will be subject to the terms and conditions of the Plan.</w:t>
      </w:r>
    </w:p>
    <w:p>
      <w:pPr>
        <w:spacing w:after="0" w:line="160" w:lineRule="exact"/>
        <w:rPr>
          <w:rFonts w:ascii="Times New Roman" w:cs="Times New Roman" w:eastAsia="Times New Roman" w:hAnsi="Times New Roman"/>
          <w:sz w:val="22"/>
          <w:szCs w:val="22"/>
          <w:b w:val="1"/>
          <w:bCs w:val="1"/>
          <w:color w:val="auto"/>
        </w:rPr>
      </w:pPr>
    </w:p>
    <w:p>
      <w:pPr>
        <w:ind w:firstLine="656"/>
        <w:spacing w:after="0" w:line="276" w:lineRule="auto"/>
        <w:tabs>
          <w:tab w:leader="none" w:pos="1233"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Optionholder</w:t>
      </w:r>
      <w:r>
        <w:rPr>
          <w:rFonts w:ascii="Times New Roman" w:cs="Times New Roman" w:eastAsia="Times New Roman" w:hAnsi="Times New Roman"/>
          <w:sz w:val="22"/>
          <w:szCs w:val="22"/>
          <w:color w:val="auto"/>
        </w:rPr>
        <w:t>” means a person to whom an Option is granted pursuant to the Plan or, if applicable, such other person who holds an outstanding Option.</w:t>
      </w:r>
    </w:p>
    <w:p>
      <w:pPr>
        <w:spacing w:after="0" w:line="147" w:lineRule="exact"/>
        <w:rPr>
          <w:rFonts w:ascii="Times New Roman" w:cs="Times New Roman" w:eastAsia="Times New Roman" w:hAnsi="Times New Roman"/>
          <w:sz w:val="22"/>
          <w:szCs w:val="22"/>
          <w:b w:val="1"/>
          <w:bCs w:val="1"/>
          <w:color w:val="auto"/>
        </w:rPr>
      </w:pPr>
    </w:p>
    <w:p>
      <w:pPr>
        <w:ind w:firstLine="656"/>
        <w:spacing w:after="0" w:line="276" w:lineRule="auto"/>
        <w:tabs>
          <w:tab w:leader="none" w:pos="1332"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Stock Award</w:t>
      </w:r>
      <w:r>
        <w:rPr>
          <w:rFonts w:ascii="Times New Roman" w:cs="Times New Roman" w:eastAsia="Times New Roman" w:hAnsi="Times New Roman"/>
          <w:sz w:val="22"/>
          <w:szCs w:val="22"/>
          <w:color w:val="auto"/>
        </w:rPr>
        <w:t>” means an award based in whole or in part by reference to the Common Stock which is granted pursuant to the terms and conditions of Section 6(d).</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248"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Stock Award Agreement</w:t>
      </w:r>
      <w:r>
        <w:rPr>
          <w:rFonts w:ascii="Times New Roman" w:cs="Times New Roman" w:eastAsia="Times New Roman" w:hAnsi="Times New Roman"/>
          <w:sz w:val="22"/>
          <w:szCs w:val="22"/>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57"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222"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Outside Director</w:t>
      </w:r>
      <w:r>
        <w:rPr>
          <w:rFonts w:ascii="Times New Roman" w:cs="Times New Roman" w:eastAsia="Times New Roman" w:hAnsi="Times New Roman"/>
          <w:sz w:val="21"/>
          <w:szCs w:val="21"/>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162" w:lineRule="exact"/>
        <w:rPr>
          <w:rFonts w:ascii="Times New Roman" w:cs="Times New Roman" w:eastAsia="Times New Roman" w:hAnsi="Times New Roman"/>
          <w:sz w:val="21"/>
          <w:szCs w:val="21"/>
          <w:b w:val="1"/>
          <w:bCs w:val="1"/>
          <w:color w:val="auto"/>
        </w:rPr>
      </w:pPr>
    </w:p>
    <w:p>
      <w:pPr>
        <w:jc w:val="both"/>
        <w:ind w:firstLine="656"/>
        <w:spacing w:after="0" w:line="260" w:lineRule="auto"/>
        <w:tabs>
          <w:tab w:leader="none" w:pos="1206"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Ownership</w:t>
      </w:r>
      <w:r>
        <w:rPr>
          <w:rFonts w:ascii="Times New Roman" w:cs="Times New Roman" w:eastAsia="Times New Roman" w:hAnsi="Times New Roman"/>
          <w:sz w:val="22"/>
          <w:szCs w:val="22"/>
          <w:color w:val="auto"/>
        </w:rPr>
        <w:t>” A person or Entity will be deemed to “Own,” to have “Owned,” to be the “Owner” of, or to have acquired “Ownership” of securities if such person or Entity, directly or indirectly, through any contract, arrangement,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relationship or otherwise, has or shares voting power, which includes the power to vote or to direct the voting, with respect to such securities.</w:t>
      </w:r>
    </w:p>
    <w:p>
      <w:pPr>
        <w:spacing w:after="0" w:line="152" w:lineRule="exact"/>
        <w:rPr>
          <w:sz w:val="20"/>
          <w:szCs w:val="20"/>
          <w:color w:val="auto"/>
        </w:rPr>
      </w:pPr>
    </w:p>
    <w:p>
      <w:pPr>
        <w:ind w:firstLine="656"/>
        <w:spacing w:after="0" w:line="289" w:lineRule="auto"/>
        <w:tabs>
          <w:tab w:leader="none" w:pos="1248"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 person to whom an Award is granted pursuant to the Plan or, if applicable, such other person who holds an outstanding Stock Award.</w:t>
      </w:r>
    </w:p>
    <w:p>
      <w:pPr>
        <w:spacing w:after="0" w:line="133" w:lineRule="exact"/>
        <w:rPr>
          <w:rFonts w:ascii="Times New Roman" w:cs="Times New Roman" w:eastAsia="Times New Roman" w:hAnsi="Times New Roman"/>
          <w:sz w:val="22"/>
          <w:szCs w:val="22"/>
          <w:b w:val="1"/>
          <w:bCs w:val="1"/>
          <w:color w:val="auto"/>
        </w:rPr>
      </w:pPr>
    </w:p>
    <w:p>
      <w:pPr>
        <w:ind w:left="1180" w:hanging="524"/>
        <w:spacing w:after="0"/>
        <w:tabs>
          <w:tab w:leader="none" w:pos="1180"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Cash Award</w:t>
      </w:r>
      <w:r>
        <w:rPr>
          <w:rFonts w:ascii="Times New Roman" w:cs="Times New Roman" w:eastAsia="Times New Roman" w:hAnsi="Times New Roman"/>
          <w:sz w:val="22"/>
          <w:szCs w:val="22"/>
          <w:color w:val="auto"/>
        </w:rPr>
        <w:t>” means an award of cash granted pursuant to the terms and conditions of Section 6(c)</w:t>
      </w:r>
    </w:p>
    <w:p>
      <w:pPr>
        <w:spacing w:after="0" w:line="33"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(ii).</w:t>
      </w:r>
    </w:p>
    <w:p>
      <w:pPr>
        <w:spacing w:after="0" w:line="189" w:lineRule="exact"/>
        <w:rPr>
          <w:rFonts w:ascii="Times New Roman" w:cs="Times New Roman" w:eastAsia="Times New Roman" w:hAnsi="Times New Roman"/>
          <w:sz w:val="22"/>
          <w:szCs w:val="22"/>
          <w:b w:val="1"/>
          <w:bCs w:val="1"/>
          <w:color w:val="auto"/>
        </w:rPr>
      </w:pPr>
    </w:p>
    <w:p>
      <w:pPr>
        <w:jc w:val="both"/>
        <w:ind w:firstLine="656"/>
        <w:spacing w:after="0" w:line="260" w:lineRule="auto"/>
        <w:tabs>
          <w:tab w:leader="none" w:pos="1435" w:val="left"/>
        </w:tabs>
        <w:numPr>
          <w:ilvl w:val="1"/>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Criteria</w:t>
      </w:r>
      <w:r>
        <w:rPr>
          <w:rFonts w:ascii="Times New Roman" w:cs="Times New Roman" w:eastAsia="Times New Roman" w:hAnsi="Times New Roman"/>
          <w:sz w:val="21"/>
          <w:szCs w:val="21"/>
          <w:color w:val="auto"/>
        </w:rPr>
        <w:t>” means the one or more criteria that the Committee (or, if not required for compliance with Section 162(m) of the Code, the Board or the Committee) will select for purposes of establishing the Performance Goals for a Performance Period. The Performance Criteria that will be used to establish such Performance Goals may be based on any one of, or combination of, the following as determined by the Committee (or Board, if applicable):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 (7) stock price; (8) margin (including gross margin); (9) income (before or after taxes); (10) operating income; (11) operating income after taxes; (12) pre-tax profit; (13) operating cash flow; (14) sales or revenue targets;</w:t>
      </w:r>
    </w:p>
    <w:p>
      <w:pPr>
        <w:spacing w:after="0" w:line="4" w:lineRule="exact"/>
        <w:rPr>
          <w:rFonts w:ascii="Times New Roman" w:cs="Times New Roman" w:eastAsia="Times New Roman" w:hAnsi="Times New Roman"/>
          <w:sz w:val="21"/>
          <w:szCs w:val="21"/>
          <w:b w:val="1"/>
          <w:bCs w:val="1"/>
          <w:color w:val="auto"/>
        </w:rPr>
      </w:pPr>
    </w:p>
    <w:p>
      <w:pPr>
        <w:jc w:val="both"/>
        <w:ind w:firstLine="8"/>
        <w:spacing w:after="0" w:line="248" w:lineRule="auto"/>
        <w:tabs>
          <w:tab w:leader="none" w:pos="44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increases in revenue or product revenue; (16) expenses and cost reduction goals; (17) improvement in or attainment of working capital levels; (18) economic value added (or an equivalent metric); (19) market share; (20) cash flow; (21) cash flow per share; (22) share price performance; (23) debt reduction; (24) implementation or completion of projects or processes; (25) customer satisfaction; (26) stockholders’ equity; (27) capital expenditures; (28) debt levels; (29) operating profit or net operating profit; (30) workforce diversity; (31) growth of net income or operating income; (32) billings; and (33) to the extent that an Award is not intended to comply with Section 162(m) of the Code, other measures of performance selected by the Committee or Board.</w:t>
      </w:r>
    </w:p>
    <w:p>
      <w:pPr>
        <w:spacing w:after="0" w:line="176" w:lineRule="exact"/>
        <w:rPr>
          <w:rFonts w:ascii="Times New Roman" w:cs="Times New Roman" w:eastAsia="Times New Roman" w:hAnsi="Times New Roman"/>
          <w:sz w:val="22"/>
          <w:szCs w:val="22"/>
          <w:color w:val="auto"/>
        </w:rPr>
      </w:pPr>
    </w:p>
    <w:p>
      <w:pPr>
        <w:jc w:val="both"/>
        <w:ind w:firstLine="656"/>
        <w:spacing w:after="0" w:line="248" w:lineRule="auto"/>
        <w:tabs>
          <w:tab w:leader="none" w:pos="1248" w:val="left"/>
        </w:tabs>
        <w:numPr>
          <w:ilvl w:val="1"/>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Goals</w:t>
      </w:r>
      <w:r>
        <w:rPr>
          <w:rFonts w:ascii="Times New Roman" w:cs="Times New Roman" w:eastAsia="Times New Roman" w:hAnsi="Times New Roman"/>
          <w:sz w:val="22"/>
          <w:szCs w:val="22"/>
          <w:color w:val="auto"/>
        </w:rPr>
        <w:t>” means, for a Performance Period, the one or more goals established by the Committee (or, if not required for compliance with Section 162(m) of the Code, the Board or the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Committee (or, if not required for compliance with Section 162(m) of the Code, the Board or the Committee) (i) in the Award Agreement at the time the Award is granted or (ii) in such other document setting forth the Performance Goals at the time the Performance Goals are established, the Committee (or Board, if applicable) will appropriately make adjustments in the method of calculating the attainment of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to exclude the effects of any items that are “unusual” in nature or occur “infrequently” as determined under generally accepted accounting principles.</w:t>
      </w:r>
    </w:p>
    <w:p>
      <w:pPr>
        <w:spacing w:after="0" w:line="152" w:lineRule="exact"/>
        <w:rPr>
          <w:sz w:val="20"/>
          <w:szCs w:val="20"/>
          <w:color w:val="auto"/>
        </w:rPr>
      </w:pPr>
    </w:p>
    <w:p>
      <w:pPr>
        <w:jc w:val="both"/>
        <w:ind w:firstLine="656"/>
        <w:spacing w:after="0" w:line="254" w:lineRule="auto"/>
        <w:tabs>
          <w:tab w:leader="none" w:pos="1224"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color w:val="auto"/>
        </w:rPr>
        <w:t>” means the period of time selected by the Committee (or, if not required for compliance with Section 162(m) of the Code, the Board or the Committee) over which the attainment of one or more Performance Goals will be measured for the purpose of determining a Participant’s right to and the payment of a Performance Stock Award or a Performance Cash Award. Performance Periods may be of varying and overlapping duration, at the sole discretion of the Committee (or Board, if applicable).</w:t>
      </w:r>
    </w:p>
    <w:p>
      <w:pPr>
        <w:spacing w:after="0" w:line="173" w:lineRule="exact"/>
        <w:rPr>
          <w:rFonts w:ascii="Times New Roman" w:cs="Times New Roman" w:eastAsia="Times New Roman" w:hAnsi="Times New Roman"/>
          <w:sz w:val="22"/>
          <w:szCs w:val="22"/>
          <w:b w:val="1"/>
          <w:bCs w:val="1"/>
          <w:color w:val="auto"/>
        </w:rPr>
      </w:pPr>
    </w:p>
    <w:p>
      <w:pPr>
        <w:ind w:left="1260" w:hanging="604"/>
        <w:spacing w:after="0"/>
        <w:tabs>
          <w:tab w:leader="none" w:pos="12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Stock Award</w:t>
      </w:r>
      <w:r>
        <w:rPr>
          <w:rFonts w:ascii="Times New Roman" w:cs="Times New Roman" w:eastAsia="Times New Roman" w:hAnsi="Times New Roman"/>
          <w:sz w:val="22"/>
          <w:szCs w:val="22"/>
          <w:color w:val="auto"/>
        </w:rPr>
        <w:t>” means a Stock Award granted under the terms and conditions of Section 6(c)(i).</w:t>
      </w:r>
    </w:p>
    <w:p>
      <w:pPr>
        <w:spacing w:after="0" w:line="233" w:lineRule="exact"/>
        <w:rPr>
          <w:rFonts w:ascii="Times New Roman" w:cs="Times New Roman" w:eastAsia="Times New Roman" w:hAnsi="Times New Roman"/>
          <w:sz w:val="22"/>
          <w:szCs w:val="22"/>
          <w:b w:val="1"/>
          <w:bCs w:val="1"/>
          <w:color w:val="auto"/>
        </w:rPr>
      </w:pPr>
    </w:p>
    <w:p>
      <w:pPr>
        <w:ind w:left="1260" w:hanging="604"/>
        <w:spacing w:after="0"/>
        <w:tabs>
          <w:tab w:leader="none" w:pos="12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Exelixis, Inc. 2017 Equity Incentive Plan.</w:t>
      </w:r>
    </w:p>
    <w:p>
      <w:pPr>
        <w:spacing w:after="0" w:line="219" w:lineRule="exact"/>
        <w:rPr>
          <w:rFonts w:ascii="Times New Roman" w:cs="Times New Roman" w:eastAsia="Times New Roman" w:hAnsi="Times New Roman"/>
          <w:sz w:val="22"/>
          <w:szCs w:val="22"/>
          <w:b w:val="1"/>
          <w:bCs w:val="1"/>
          <w:color w:val="auto"/>
        </w:rPr>
      </w:pPr>
    </w:p>
    <w:p>
      <w:pPr>
        <w:ind w:firstLine="656"/>
        <w:spacing w:after="0" w:line="301" w:lineRule="auto"/>
        <w:tabs>
          <w:tab w:leader="none" w:pos="120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Prior Plans’ Award</w:t>
      </w:r>
      <w:r>
        <w:rPr>
          <w:rFonts w:ascii="Times New Roman" w:cs="Times New Roman" w:eastAsia="Times New Roman" w:hAnsi="Times New Roman"/>
          <w:sz w:val="21"/>
          <w:szCs w:val="21"/>
          <w:color w:val="auto"/>
        </w:rPr>
        <w:t>” means any stock award granted under the 2014 Plan, the 2000 Plan, the 2000 Non-Employee Directors’ Plan, the 2011 Plan or the 2016 Inducement Plan, in each case that was outstanding as of the Effective Date.</w:t>
      </w:r>
    </w:p>
    <w:p>
      <w:pPr>
        <w:spacing w:after="0" w:line="123" w:lineRule="exact"/>
        <w:rPr>
          <w:rFonts w:ascii="Times New Roman" w:cs="Times New Roman" w:eastAsia="Times New Roman" w:hAnsi="Times New Roman"/>
          <w:sz w:val="21"/>
          <w:szCs w:val="21"/>
          <w:b w:val="1"/>
          <w:bCs w:val="1"/>
          <w:color w:val="auto"/>
        </w:rPr>
      </w:pPr>
    </w:p>
    <w:p>
      <w:pPr>
        <w:ind w:right="20" w:firstLine="656"/>
        <w:spacing w:after="0" w:line="276" w:lineRule="auto"/>
        <w:tabs>
          <w:tab w:leader="none" w:pos="1203"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means an award of shares of Common Stock which is granted pursuant to the terms and conditions of Section 6(a).</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152"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 Agreement</w:t>
      </w:r>
      <w:r>
        <w:rPr>
          <w:rFonts w:ascii="Times New Roman" w:cs="Times New Roman" w:eastAsia="Times New Roman" w:hAnsi="Times New Roman"/>
          <w:sz w:val="22"/>
          <w:szCs w:val="22"/>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57" w:lineRule="exact"/>
        <w:rPr>
          <w:rFonts w:ascii="Times New Roman" w:cs="Times New Roman" w:eastAsia="Times New Roman" w:hAnsi="Times New Roman"/>
          <w:sz w:val="22"/>
          <w:szCs w:val="22"/>
          <w:b w:val="1"/>
          <w:bCs w:val="1"/>
          <w:color w:val="auto"/>
        </w:rPr>
      </w:pPr>
    </w:p>
    <w:p>
      <w:pPr>
        <w:ind w:firstLine="656"/>
        <w:spacing w:after="0" w:line="276" w:lineRule="auto"/>
        <w:tabs>
          <w:tab w:leader="none" w:pos="1262"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w:t>
      </w:r>
      <w:r>
        <w:rPr>
          <w:rFonts w:ascii="Times New Roman" w:cs="Times New Roman" w:eastAsia="Times New Roman" w:hAnsi="Times New Roman"/>
          <w:sz w:val="22"/>
          <w:szCs w:val="22"/>
          <w:color w:val="auto"/>
        </w:rPr>
        <w:t>” means a right to receive shares of Common Stock which is granted pursuant to the terms and conditions of Section 6(b).</w:t>
      </w:r>
    </w:p>
    <w:p>
      <w:pPr>
        <w:spacing w:after="0" w:line="147" w:lineRule="exact"/>
        <w:rPr>
          <w:rFonts w:ascii="Times New Roman" w:cs="Times New Roman" w:eastAsia="Times New Roman" w:hAnsi="Times New Roman"/>
          <w:sz w:val="22"/>
          <w:szCs w:val="22"/>
          <w:b w:val="1"/>
          <w:bCs w:val="1"/>
          <w:color w:val="auto"/>
        </w:rPr>
      </w:pPr>
    </w:p>
    <w:p>
      <w:pPr>
        <w:jc w:val="both"/>
        <w:ind w:firstLine="656"/>
        <w:spacing w:after="0" w:line="266" w:lineRule="auto"/>
        <w:tabs>
          <w:tab w:leader="none" w:pos="1305"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 Agreement</w:t>
      </w:r>
      <w:r>
        <w:rPr>
          <w:rFonts w:ascii="Times New Roman" w:cs="Times New Roman" w:eastAsia="Times New Roman" w:hAnsi="Times New Roman"/>
          <w:sz w:val="22"/>
          <w:szCs w:val="22"/>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57" w:lineRule="exact"/>
        <w:rPr>
          <w:rFonts w:ascii="Times New Roman" w:cs="Times New Roman" w:eastAsia="Times New Roman" w:hAnsi="Times New Roman"/>
          <w:sz w:val="22"/>
          <w:szCs w:val="22"/>
          <w:b w:val="1"/>
          <w:bCs w:val="1"/>
          <w:color w:val="auto"/>
        </w:rPr>
      </w:pPr>
    </w:p>
    <w:p>
      <w:pPr>
        <w:ind w:firstLine="656"/>
        <w:spacing w:after="0" w:line="276" w:lineRule="auto"/>
        <w:tabs>
          <w:tab w:leader="none" w:pos="13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16b-3</w:t>
      </w:r>
      <w:r>
        <w:rPr>
          <w:rFonts w:ascii="Times New Roman" w:cs="Times New Roman" w:eastAsia="Times New Roman" w:hAnsi="Times New Roman"/>
          <w:sz w:val="22"/>
          <w:szCs w:val="22"/>
          <w:color w:val="auto"/>
        </w:rPr>
        <w:t>” means Rule 16b-3 promulgated under the Exchange Act or any successor to Rule 16b-3, as in effect from time to time.</w:t>
      </w:r>
    </w:p>
    <w:p>
      <w:pPr>
        <w:spacing w:after="0" w:line="147" w:lineRule="exact"/>
        <w:rPr>
          <w:rFonts w:ascii="Times New Roman" w:cs="Times New Roman" w:eastAsia="Times New Roman" w:hAnsi="Times New Roman"/>
          <w:sz w:val="22"/>
          <w:szCs w:val="22"/>
          <w:b w:val="1"/>
          <w:bCs w:val="1"/>
          <w:color w:val="auto"/>
        </w:rPr>
      </w:pPr>
    </w:p>
    <w:p>
      <w:pPr>
        <w:ind w:left="1240" w:hanging="584"/>
        <w:spacing w:after="0"/>
        <w:tabs>
          <w:tab w:leader="none" w:pos="12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405</w:t>
      </w:r>
      <w:r>
        <w:rPr>
          <w:rFonts w:ascii="Times New Roman" w:cs="Times New Roman" w:eastAsia="Times New Roman" w:hAnsi="Times New Roman"/>
          <w:sz w:val="22"/>
          <w:szCs w:val="22"/>
          <w:color w:val="auto"/>
        </w:rPr>
        <w:t>” means Rule 405 promulgated under the Securities Act.</w:t>
      </w:r>
    </w:p>
    <w:p>
      <w:pPr>
        <w:spacing w:after="0" w:line="233" w:lineRule="exact"/>
        <w:rPr>
          <w:rFonts w:ascii="Times New Roman" w:cs="Times New Roman" w:eastAsia="Times New Roman" w:hAnsi="Times New Roman"/>
          <w:sz w:val="22"/>
          <w:szCs w:val="22"/>
          <w:b w:val="1"/>
          <w:bCs w:val="1"/>
          <w:color w:val="auto"/>
        </w:rPr>
      </w:pPr>
    </w:p>
    <w:p>
      <w:pPr>
        <w:ind w:left="1400" w:hanging="744"/>
        <w:spacing w:after="0"/>
        <w:tabs>
          <w:tab w:leader="none" w:pos="14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w:t>
      </w:r>
    </w:p>
    <w:p>
      <w:pPr>
        <w:spacing w:after="0" w:line="33"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thereunder.</w:t>
      </w:r>
    </w:p>
    <w:p>
      <w:pPr>
        <w:spacing w:after="0" w:line="189" w:lineRule="exact"/>
        <w:rPr>
          <w:rFonts w:ascii="Times New Roman" w:cs="Times New Roman" w:eastAsia="Times New Roman" w:hAnsi="Times New Roman"/>
          <w:sz w:val="22"/>
          <w:szCs w:val="22"/>
          <w:b w:val="1"/>
          <w:bCs w:val="1"/>
          <w:color w:val="auto"/>
        </w:rPr>
      </w:pPr>
    </w:p>
    <w:p>
      <w:pPr>
        <w:ind w:right="20" w:firstLine="656"/>
        <w:spacing w:after="0" w:line="276" w:lineRule="auto"/>
        <w:tabs>
          <w:tab w:leader="none" w:pos="1227"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SAR</w:t>
      </w:r>
      <w:r>
        <w:rPr>
          <w:rFonts w:ascii="Times New Roman" w:cs="Times New Roman" w:eastAsia="Times New Roman" w:hAnsi="Times New Roman"/>
          <w:sz w:val="22"/>
          <w:szCs w:val="22"/>
          <w:color w:val="auto"/>
        </w:rPr>
        <w:t>” means a right to receive the appreciation on Common Stock that is granted pursuant to the terms and conditions of Section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2" w:lineRule="exact"/>
        <w:rPr>
          <w:sz w:val="20"/>
          <w:szCs w:val="20"/>
          <w:color w:val="auto"/>
        </w:rPr>
      </w:pPr>
    </w:p>
    <w:p>
      <w:pPr>
        <w:jc w:val="both"/>
        <w:ind w:firstLine="656"/>
        <w:spacing w:after="0" w:line="260" w:lineRule="auto"/>
        <w:tabs>
          <w:tab w:leader="none" w:pos="1332"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Stock Appreciation Right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written agreement between the Company and a holder of a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Appreciation Right evidencing the terms and conditions of a Stock Appreciation Right grant. Each Stock Appreciation Right Agreement will be subject to the terms and conditions of the Plan.</w:t>
      </w:r>
    </w:p>
    <w:p>
      <w:pPr>
        <w:spacing w:after="0" w:line="176" w:lineRule="exact"/>
        <w:rPr>
          <w:rFonts w:ascii="Times New Roman" w:cs="Times New Roman" w:eastAsia="Times New Roman" w:hAnsi="Times New Roman"/>
          <w:sz w:val="22"/>
          <w:szCs w:val="22"/>
          <w:b w:val="1"/>
          <w:bCs w:val="1"/>
          <w:color w:val="auto"/>
        </w:rPr>
      </w:pPr>
    </w:p>
    <w:p>
      <w:pPr>
        <w:jc w:val="both"/>
        <w:ind w:firstLine="656"/>
        <w:spacing w:after="0" w:line="260" w:lineRule="auto"/>
        <w:tabs>
          <w:tab w:leader="none" w:pos="1409"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right to receive Common Stock granted under the Plan, including an Incentive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a Nonstatutory Stock Option, a Stock Appreciation Right, a Restricted Stock Award, a Restricted Stock Unit Award, a Performance Stock Award or any Other Stock Award.</w:t>
      </w:r>
    </w:p>
    <w:p>
      <w:pPr>
        <w:spacing w:after="0" w:line="163" w:lineRule="exact"/>
        <w:rPr>
          <w:rFonts w:ascii="Times New Roman" w:cs="Times New Roman" w:eastAsia="Times New Roman" w:hAnsi="Times New Roman"/>
          <w:sz w:val="22"/>
          <w:szCs w:val="22"/>
          <w:b w:val="1"/>
          <w:bCs w:val="1"/>
          <w:color w:val="auto"/>
        </w:rPr>
      </w:pPr>
    </w:p>
    <w:p>
      <w:pPr>
        <w:jc w:val="both"/>
        <w:ind w:right="20" w:firstLine="656"/>
        <w:spacing w:after="0" w:line="266" w:lineRule="auto"/>
        <w:tabs>
          <w:tab w:leader="none" w:pos="1376"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Stock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written agreement between the Company and a Participant evidencing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a Stock Award grant. Each Stock Award Agreement will be subject to the terms and conditions of the Plan.</w:t>
      </w:r>
    </w:p>
    <w:p>
      <w:pPr>
        <w:spacing w:after="0" w:line="157" w:lineRule="exact"/>
        <w:rPr>
          <w:rFonts w:ascii="Times New Roman" w:cs="Times New Roman" w:eastAsia="Times New Roman" w:hAnsi="Times New Roman"/>
          <w:sz w:val="22"/>
          <w:szCs w:val="22"/>
          <w:b w:val="1"/>
          <w:bCs w:val="1"/>
          <w:color w:val="auto"/>
        </w:rPr>
      </w:pPr>
    </w:p>
    <w:p>
      <w:pPr>
        <w:jc w:val="both"/>
        <w:ind w:firstLine="656"/>
        <w:spacing w:after="0" w:line="252" w:lineRule="auto"/>
        <w:tabs>
          <w:tab w:leader="none" w:pos="1571"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with respect to the Company, (i) any corporation of which more than 50%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4" w:lineRule="exact"/>
        <w:rPr>
          <w:rFonts w:ascii="Times New Roman" w:cs="Times New Roman" w:eastAsia="Times New Roman" w:hAnsi="Times New Roman"/>
          <w:sz w:val="22"/>
          <w:szCs w:val="22"/>
          <w:b w:val="1"/>
          <w:bCs w:val="1"/>
          <w:color w:val="auto"/>
        </w:rPr>
      </w:pPr>
    </w:p>
    <w:p>
      <w:pPr>
        <w:jc w:val="both"/>
        <w:ind w:firstLine="656"/>
        <w:spacing w:after="0" w:line="260" w:lineRule="auto"/>
        <w:tabs>
          <w:tab w:leader="none" w:pos="1349"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Ten Percent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person who Owns (or is deemed to Own pursuant to Section 424(d)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stock possessing more than 10% of the total combined voting power of all classes of stock of the Company or any Affiliate.</w:t>
      </w:r>
    </w:p>
    <w:p>
      <w:pPr>
        <w:spacing w:after="0" w:line="163" w:lineRule="exact"/>
        <w:rPr>
          <w:rFonts w:ascii="Times New Roman" w:cs="Times New Roman" w:eastAsia="Times New Roman" w:hAnsi="Times New Roman"/>
          <w:sz w:val="22"/>
          <w:szCs w:val="22"/>
          <w:b w:val="1"/>
          <w:bCs w:val="1"/>
          <w:color w:val="auto"/>
        </w:rPr>
      </w:pPr>
    </w:p>
    <w:p>
      <w:pPr>
        <w:ind w:left="1240" w:hanging="584"/>
        <w:spacing w:after="0"/>
        <w:tabs>
          <w:tab w:leader="none" w:pos="12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Corporate Transaction or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lowerLetter"/>
      <w:start w:val="1"/>
    </w:lvl>
    <w:lvl w:ilvl="1">
      <w:lvlJc w:val="left"/>
      <w:lvlText w:val="%2."/>
      <w:numFmt w:val="decimal"/>
      <w:start w:val="1"/>
    </w:lvl>
  </w:abstractNum>
  <w:abstractNum w:abstractNumId="2">
    <w:nsid w:val="614FD4A1"/>
    <w:multiLevelType w:val="hybridMultilevel"/>
    <w:lvl w:ilvl="0">
      <w:lvlJc w:val="left"/>
      <w:lvlText w:val="%1."/>
      <w:numFmt w:val="decimal"/>
      <w:start w:val="2"/>
    </w:lvl>
  </w:abstractNum>
  <w:abstractNum w:abstractNumId="3">
    <w:nsid w:val="419AC241"/>
    <w:multiLevelType w:val="hybridMultilevel"/>
    <w:lvl w:ilvl="0">
      <w:lvlJc w:val="left"/>
      <w:lvlText w:val="%1."/>
      <w:numFmt w:val="decimal"/>
      <w:start w:val="4"/>
    </w:lvl>
  </w:abstractNum>
  <w:abstractNum w:abstractNumId="4">
    <w:nsid w:val="5577F8E1"/>
    <w:multiLevelType w:val="hybridMultilevel"/>
    <w:lvl w:ilvl="0">
      <w:lvlJc w:val="left"/>
      <w:lvlText w:val="%1."/>
      <w:numFmt w:val="decimal"/>
      <w:start w:val="1"/>
    </w:lvl>
    <w:lvl w:ilvl="1">
      <w:lvlJc w:val="left"/>
      <w:lvlText w:val="(%2)"/>
      <w:numFmt w:val="lowerLetter"/>
      <w:start w:val="1"/>
    </w:lvl>
  </w:abstractNum>
  <w:abstractNum w:abstractNumId="5">
    <w:nsid w:val="440BADFC"/>
    <w:multiLevelType w:val="hybridMultilevel"/>
    <w:lvl w:ilvl="0">
      <w:lvlJc w:val="left"/>
      <w:lvlText w:val="%1"/>
      <w:numFmt w:val="lowerRoman"/>
      <w:start w:val="1"/>
    </w:lvl>
    <w:lvl w:ilvl="1">
      <w:lvlJc w:val="left"/>
      <w:lvlText w:val="(%2)"/>
      <w:numFmt w:val="lowerLetter"/>
      <w:start w:val="2"/>
    </w:lvl>
  </w:abstractNum>
  <w:abstractNum w:abstractNumId="6">
    <w:nsid w:val="5072367"/>
    <w:multiLevelType w:val="hybridMultilevel"/>
    <w:lvl w:ilvl="0">
      <w:lvlJc w:val="left"/>
      <w:lvlText w:val="(%1)"/>
      <w:numFmt w:val="lowerRoman"/>
      <w:start w:val="2"/>
    </w:lvl>
    <w:lvl w:ilvl="1">
      <w:lvlJc w:val="left"/>
      <w:lvlText w:val="%2"/>
      <w:numFmt w:val="lowerLetter"/>
      <w:start w:val="1"/>
    </w:lvl>
  </w:abstractNum>
  <w:abstractNum w:abstractNumId="7">
    <w:nsid w:val="3804823E"/>
    <w:multiLevelType w:val="hybridMultilevel"/>
    <w:lvl w:ilvl="0">
      <w:lvlJc w:val="left"/>
      <w:lvlText w:val="(%1)"/>
      <w:numFmt w:val="lowerRoman"/>
      <w:start w:val="6"/>
    </w:lvl>
    <w:lvl w:ilvl="1">
      <w:lvlJc w:val="left"/>
      <w:lvlText w:val="(%2)"/>
      <w:numFmt w:val="lowerLetter"/>
      <w:start w:val="4"/>
    </w:lvl>
  </w:abstractNum>
  <w:abstractNum w:abstractNumId="8">
    <w:nsid w:val="77465F0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
    <w:nsid w:val="7724C67E"/>
    <w:multiLevelType w:val="hybridMultilevel"/>
    <w:lvl w:ilvl="0">
      <w:lvlJc w:val="left"/>
      <w:lvlText w:val="(%1)"/>
      <w:numFmt w:val="lowerRoman"/>
      <w:start w:val="6"/>
    </w:lvl>
  </w:abstractNum>
  <w:abstractNum w:abstractNumId="10">
    <w:nsid w:val="5C482A97"/>
    <w:multiLevelType w:val="hybridMultilevel"/>
    <w:lvl w:ilvl="0">
      <w:lvlJc w:val="left"/>
      <w:lvlText w:val="%1"/>
      <w:numFmt w:val="lowerLetter"/>
      <w:start w:val="1"/>
    </w:lvl>
    <w:lvl w:ilvl="1">
      <w:lvlJc w:val="left"/>
      <w:lvlText w:val="(%2)"/>
      <w:numFmt w:val="lowerRoman"/>
      <w:start w:val="9"/>
    </w:lvl>
  </w:abstractNum>
  <w:abstractNum w:abstractNumId="11">
    <w:nsid w:val="2463B9EA"/>
    <w:multiLevelType w:val="hybridMultilevel"/>
    <w:lvl w:ilvl="0">
      <w:lvlJc w:val="left"/>
      <w:lvlText w:val="(%1)"/>
      <w:numFmt w:val="lowerLetter"/>
      <w:start w:val="3"/>
    </w:lvl>
    <w:lvl w:ilvl="1">
      <w:lvlJc w:val="left"/>
      <w:lvlText w:val="(%2)"/>
      <w:numFmt w:val="lowerRoman"/>
      <w:start w:val="1"/>
    </w:lvl>
  </w:abstractNum>
  <w:abstractNum w:abstractNumId="12">
    <w:nsid w:val="5E884ADC"/>
    <w:multiLevelType w:val="hybridMultilevel"/>
    <w:lvl w:ilvl="0">
      <w:lvlJc w:val="left"/>
      <w:lvlText w:val="%1"/>
      <w:numFmt w:val="lowerLetter"/>
      <w:start w:val="1"/>
    </w:lvl>
    <w:lvl w:ilvl="1">
      <w:lvlJc w:val="left"/>
      <w:lvlText w:val="(%2)"/>
      <w:numFmt w:val="lowerLetter"/>
      <w:start w:val="6"/>
    </w:lvl>
  </w:abstractNum>
  <w:abstractNum w:abstractNumId="13">
    <w:nsid w:val="51EAD36B"/>
    <w:multiLevelType w:val="hybridMultilevel"/>
    <w:lvl w:ilvl="0">
      <w:lvlJc w:val="left"/>
      <w:lvlText w:val="(%1)"/>
      <w:numFmt w:val="lowerLetter"/>
      <w:start w:val="9"/>
    </w:lvl>
    <w:lvl w:ilvl="1">
      <w:lvlJc w:val="left"/>
      <w:lvlText w:val="(%2)"/>
      <w:numFmt w:val="lowerLetter"/>
      <w:start w:val="7"/>
    </w:lvl>
  </w:abstractNum>
  <w:abstractNum w:abstractNumId="14">
    <w:nsid w:val="2D51779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
    <w:nsid w:val="580BD78F"/>
    <w:multiLevelType w:val="hybridMultilevel"/>
    <w:lvl w:ilvl="0">
      <w:lvlJc w:val="left"/>
      <w:lvlText w:val="%1"/>
      <w:numFmt w:val="lowerLetter"/>
      <w:start w:val="1"/>
    </w:lvl>
    <w:lvl w:ilvl="1">
      <w:lvlJc w:val="left"/>
      <w:lvlText w:val="(%2)"/>
      <w:numFmt w:val="lowerLetter"/>
      <w:start w:val="61"/>
    </w:lvl>
  </w:abstractNum>
  <w:abstractNum w:abstractNumId="16">
    <w:nsid w:val="153EA438"/>
    <w:multiLevelType w:val="hybridMultilevel"/>
    <w:lvl w:ilvl="0">
      <w:lvlJc w:val="left"/>
      <w:lvlText w:val="(%1)"/>
      <w:numFmt w:val="lowerLetter"/>
      <w:start w:val="2"/>
    </w:lvl>
    <w:lvl w:ilvl="1">
      <w:lvlJc w:val="left"/>
      <w:lvlText w:val="(%2)"/>
      <w:numFmt w:val="lowerLetter"/>
      <w:start w:val="9"/>
    </w:lvl>
  </w:abstractNum>
  <w:abstractNum w:abstractNumId="17">
    <w:nsid w:val="3855585C"/>
    <w:multiLevelType w:val="hybridMultilevel"/>
    <w:lvl w:ilvl="0">
      <w:lvlJc w:val="left"/>
      <w:lvlText w:val="(%1)"/>
      <w:numFmt w:val="lowerRoman"/>
      <w:start w:val="2"/>
    </w:lvl>
  </w:abstractNum>
  <w:abstractNum w:abstractNumId="18">
    <w:nsid w:val="70A64E2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0">
    <w:nsid w:val="2A487CB0"/>
    <w:multiLevelType w:val="hybridMultilevel"/>
    <w:lvl w:ilvl="0">
      <w:lvlJc w:val="left"/>
      <w:lvlText w:val="(%1)"/>
      <w:numFmt w:val="lowerLetter"/>
      <w:start w:val="2"/>
    </w:lvl>
  </w:abstractNum>
  <w:abstractNum w:abstractNumId="21">
    <w:nsid w:val="1D4ED43B"/>
    <w:multiLevelType w:val="hybridMultilevel"/>
    <w:lvl w:ilvl="0">
      <w:lvlJc w:val="left"/>
      <w:lvlText w:val="%1."/>
      <w:numFmt w:val="decimal"/>
      <w:start w:val="5"/>
    </w:lvl>
  </w:abstractNum>
  <w:abstractNum w:abstractNumId="22">
    <w:nsid w:val="725A06FB"/>
    <w:multiLevelType w:val="hybridMultilevel"/>
    <w:lvl w:ilvl="0">
      <w:lvlJc w:val="left"/>
      <w:lvlText w:val="(%1)"/>
      <w:numFmt w:val="lowerLetter"/>
      <w:start w:val="1"/>
    </w:lvl>
  </w:abstractNum>
  <w:abstractNum w:abstractNumId="23">
    <w:nsid w:val="2CD89A32"/>
    <w:multiLevelType w:val="hybridMultilevel"/>
    <w:lvl w:ilvl="0">
      <w:lvlJc w:val="left"/>
      <w:lvlText w:val="%1"/>
      <w:numFmt w:val="lowerLetter"/>
      <w:start w:val="1"/>
    </w:lvl>
    <w:lvl w:ilvl="1">
      <w:lvlJc w:val="left"/>
      <w:lvlText w:val="(%2)"/>
      <w:numFmt w:val="lowerRoman"/>
      <w:start w:val="1"/>
    </w:lvl>
  </w:abstractNum>
  <w:abstractNum w:abstractNumId="24">
    <w:nsid w:val="57E4CCAF"/>
    <w:multiLevelType w:val="hybridMultilevel"/>
    <w:lvl w:ilvl="0">
      <w:lvlJc w:val="left"/>
      <w:lvlText w:val="(%1)"/>
      <w:numFmt w:val="lowerLetter"/>
      <w:start w:val="4"/>
    </w:lvl>
    <w:lvl w:ilvl="1">
      <w:lvlJc w:val="left"/>
      <w:lvlText w:val="%2"/>
      <w:numFmt w:val="lowerRoman"/>
      <w:start w:val="1"/>
    </w:lvl>
  </w:abstractNum>
  <w:abstractNum w:abstractNumId="25">
    <w:nsid w:val="7A6D8D3C"/>
    <w:multiLevelType w:val="hybridMultilevel"/>
    <w:lvl w:ilvl="0">
      <w:lvlJc w:val="left"/>
      <w:lvlText w:val="%1"/>
      <w:numFmt w:val="lowerLetter"/>
      <w:start w:val="1"/>
    </w:lvl>
    <w:lvl w:ilvl="1">
      <w:lvlJc w:val="left"/>
      <w:lvlText w:val="(%2)"/>
      <w:numFmt w:val="lowerRoman"/>
      <w:start w:val="1"/>
    </w:lvl>
  </w:abstractNum>
  <w:abstractNum w:abstractNumId="26">
    <w:nsid w:val="4B588F54"/>
    <w:multiLevelType w:val="hybridMultilevel"/>
    <w:lvl w:ilvl="0">
      <w:lvlJc w:val="left"/>
      <w:lvlText w:val="(%1)"/>
      <w:numFmt w:val="lowerLetter"/>
      <w:start w:val="6"/>
    </w:lvl>
    <w:lvl w:ilvl="1">
      <w:lvlJc w:val="left"/>
      <w:lvlText w:val="%2"/>
      <w:numFmt w:val="lowerRoman"/>
      <w:start w:val="1"/>
    </w:lvl>
  </w:abstractNum>
  <w:abstractNum w:abstractNumId="27">
    <w:nsid w:val="542289EC"/>
    <w:multiLevelType w:val="hybridMultilevel"/>
    <w:lvl w:ilvl="0">
      <w:lvlJc w:val="left"/>
      <w:lvlText w:val="(%1)"/>
      <w:numFmt w:val="lowerLetter"/>
      <w:start w:val="8"/>
    </w:lvl>
  </w:abstractNum>
  <w:abstractNum w:abstractNumId="28">
    <w:nsid w:val="6DE91B18"/>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29">
    <w:nsid w:val="38437FD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0">
    <w:nsid w:val="7644A45C"/>
    <w:multiLevelType w:val="hybridMultilevel"/>
    <w:lvl w:ilvl="0">
      <w:lvlJc w:val="left"/>
      <w:lvlText w:val="%1"/>
      <w:numFmt w:val="lowerLetter"/>
      <w:start w:val="1"/>
    </w:lvl>
    <w:lvl w:ilvl="1">
      <w:lvlJc w:val="left"/>
      <w:lvlText w:val="(%2)"/>
      <w:numFmt w:val="lowerRoman"/>
      <w:start w:val="2"/>
    </w:lvl>
  </w:abstractNum>
  <w:abstractNum w:abstractNumId="31">
    <w:nsid w:val="32FFF902"/>
    <w:multiLevelType w:val="hybridMultilevel"/>
    <w:lvl w:ilvl="0">
      <w:lvlJc w:val="left"/>
      <w:lvlText w:val="(%1)"/>
      <w:numFmt w:val="lowerLetter"/>
      <w:start w:val="2"/>
    </w:lvl>
    <w:lvl w:ilvl="1">
      <w:lvlJc w:val="left"/>
      <w:lvlText w:val="(%2)"/>
      <w:numFmt w:val="lowerRoman"/>
      <w:start w:val="1"/>
    </w:lvl>
  </w:abstractNum>
  <w:abstractNum w:abstractNumId="32">
    <w:nsid w:val="684A481A"/>
    <w:multiLevelType w:val="hybridMultilevel"/>
    <w:lvl w:ilvl="0">
      <w:lvlJc w:val="left"/>
      <w:lvlText w:val="%1"/>
      <w:numFmt w:val="lowerLetter"/>
      <w:start w:val="1"/>
    </w:lvl>
    <w:lvl w:ilvl="1">
      <w:lvlJc w:val="left"/>
      <w:lvlText w:val="(%2)"/>
      <w:numFmt w:val="lowerRoman"/>
      <w:start w:val="4"/>
    </w:lvl>
  </w:abstractNum>
  <w:abstractNum w:abstractNumId="33">
    <w:nsid w:val="579478FE"/>
    <w:multiLevelType w:val="hybridMultilevel"/>
    <w:lvl w:ilvl="0">
      <w:lvlJc w:val="left"/>
      <w:lvlText w:val="(%1)"/>
      <w:numFmt w:val="lowerLetter"/>
      <w:start w:val="3"/>
    </w:lvl>
    <w:lvl w:ilvl="1">
      <w:lvlJc w:val="left"/>
      <w:lvlText w:val="(%2)"/>
      <w:numFmt w:val="lowerRoman"/>
      <w:start w:val="1"/>
    </w:lvl>
  </w:abstractNum>
  <w:abstractNum w:abstractNumId="34">
    <w:nsid w:val="749ABB4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35">
    <w:nsid w:val="3DC240FB"/>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5"/>
    </w:lvl>
  </w:abstractNum>
  <w:abstractNum w:abstractNumId="36">
    <w:nsid w:val="1BA026FA"/>
    <w:multiLevelType w:val="hybridMultilevel"/>
    <w:lvl w:ilvl="0">
      <w:lvlJc w:val="left"/>
      <w:lvlText w:val="%1."/>
      <w:numFmt w:val="decimal"/>
      <w:start w:val="7"/>
    </w:lvl>
    <w:lvl w:ilvl="1">
      <w:lvlJc w:val="left"/>
      <w:lvlText w:val="(%2)"/>
      <w:numFmt w:val="lowerLetter"/>
      <w:start w:val="1"/>
    </w:lvl>
  </w:abstractNum>
  <w:abstractNum w:abstractNumId="37">
    <w:nsid w:val="79A1DEAA"/>
    <w:multiLevelType w:val="hybridMultilevel"/>
    <w:lvl w:ilvl="0">
      <w:lvlJc w:val="left"/>
      <w:lvlText w:val="%1"/>
      <w:numFmt w:val="decimal"/>
      <w:start w:val="1"/>
    </w:lvl>
    <w:lvl w:ilvl="1">
      <w:lvlJc w:val="left"/>
      <w:lvlText w:val="(%2)"/>
      <w:numFmt w:val="lowerLetter"/>
      <w:start w:val="3"/>
    </w:lvl>
  </w:abstractNum>
  <w:abstractNum w:abstractNumId="38">
    <w:nsid w:val="75C6C33A"/>
    <w:multiLevelType w:val="hybridMultilevel"/>
    <w:lvl w:ilvl="0">
      <w:lvlJc w:val="left"/>
      <w:lvlText w:val="%1."/>
      <w:numFmt w:val="decimal"/>
      <w:start w:val="8"/>
    </w:lvl>
    <w:lvl w:ilvl="1">
      <w:lvlJc w:val="left"/>
      <w:lvlText w:val="(%2)"/>
      <w:numFmt w:val="lowerLetter"/>
      <w:start w:val="1"/>
    </w:lvl>
  </w:abstractNum>
  <w:abstractNum w:abstractNumId="39">
    <w:nsid w:val="12E685FB"/>
    <w:multiLevelType w:val="hybridMultilevel"/>
    <w:lvl w:ilvl="0">
      <w:lvlJc w:val="left"/>
      <w:lvlText w:val="(%1)"/>
      <w:numFmt w:val="lowerLetter"/>
      <w:start w:val="5"/>
    </w:lvl>
  </w:abstractNum>
  <w:abstractNum w:abstractNumId="40">
    <w:nsid w:val="70C6A529"/>
    <w:multiLevelType w:val="hybridMultilevel"/>
    <w:lvl w:ilvl="0">
      <w:lvlJc w:val="left"/>
      <w:lvlText w:val="(%1)"/>
      <w:numFmt w:val="lowerLetter"/>
      <w:start w:val="8"/>
    </w:lvl>
  </w:abstractNum>
  <w:abstractNum w:abstractNumId="41">
    <w:nsid w:val="520EEDD1"/>
    <w:multiLevelType w:val="hybridMultilevel"/>
    <w:lvl w:ilvl="0">
      <w:lvlJc w:val="left"/>
      <w:lvlText w:val="%1"/>
      <w:numFmt w:val="decimal"/>
      <w:start w:val="1"/>
    </w:lvl>
    <w:lvl w:ilvl="1">
      <w:lvlJc w:val="left"/>
      <w:lvlText w:val="(%2)"/>
      <w:numFmt w:val="lowerLetter"/>
      <w:start w:val="12"/>
    </w:lvl>
  </w:abstractNum>
  <w:abstractNum w:abstractNumId="42">
    <w:nsid w:val="374A3FE6"/>
    <w:multiLevelType w:val="hybridMultilevel"/>
    <w:lvl w:ilvl="0">
      <w:lvlJc w:val="left"/>
      <w:lvlText w:val="%1."/>
      <w:numFmt w:val="decimal"/>
      <w:start w:val="9"/>
    </w:lvl>
    <w:lvl w:ilvl="1">
      <w:lvlJc w:val="left"/>
      <w:lvlText w:val="(%2)"/>
      <w:numFmt w:val="lowerLetter"/>
      <w:start w:val="1"/>
    </w:lvl>
  </w:abstractNum>
  <w:abstractNum w:abstractNumId="43">
    <w:nsid w:val="4F4EF005"/>
    <w:multiLevelType w:val="hybridMultilevel"/>
    <w:lvl w:ilvl="0">
      <w:lvlJc w:val="left"/>
      <w:lvlText w:val="(%1)"/>
      <w:numFmt w:val="lowerRoman"/>
      <w:start w:val="1"/>
    </w:lvl>
  </w:abstractNum>
  <w:abstractNum w:abstractNumId="44">
    <w:nsid w:val="23F9C1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45">
    <w:nsid w:val="649BB77C"/>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46">
    <w:nsid w:val="275AC79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7">
    <w:nsid w:val="39386575"/>
    <w:multiLevelType w:val="hybridMultilevel"/>
    <w:lvl w:ilvl="0">
      <w:lvlJc w:val="left"/>
      <w:lvlText w:val="(%1)"/>
      <w:numFmt w:val="lowerRoman"/>
      <w:start w:val="2"/>
    </w:lvl>
  </w:abstractNum>
  <w:abstractNum w:abstractNumId="48">
    <w:nsid w:val="1CF10FD8"/>
    <w:multiLevelType w:val="hybridMultilevel"/>
    <w:lvl w:ilvl="0">
      <w:lvlJc w:val="left"/>
      <w:lvlText w:val="%1."/>
      <w:numFmt w:val="decimal"/>
      <w:start w:val="10"/>
    </w:lvl>
    <w:lvl w:ilvl="1">
      <w:lvlJc w:val="left"/>
      <w:lvlText w:val="(%2)"/>
      <w:numFmt w:val="lowerLetter"/>
      <w:start w:val="1"/>
    </w:lvl>
  </w:abstractNum>
  <w:abstractNum w:abstractNumId="49">
    <w:nsid w:val="180115BE"/>
    <w:multiLevelType w:val="hybridMultilevel"/>
    <w:lvl w:ilvl="0">
      <w:lvlJc w:val="left"/>
      <w:lvlText w:val="%1."/>
      <w:numFmt w:val="decimal"/>
      <w:start w:val="12"/>
    </w:lvl>
  </w:abstractNum>
  <w:abstractNum w:abstractNumId="50">
    <w:nsid w:val="235BA861"/>
    <w:multiLevelType w:val="hybridMultilevel"/>
    <w:lvl w:ilvl="0">
      <w:lvlJc w:val="left"/>
      <w:lvlText w:val="%1."/>
      <w:numFmt w:val="decimal"/>
      <w:start w:val="13"/>
    </w:lvl>
    <w:lvl w:ilvl="1">
      <w:lvlJc w:val="left"/>
      <w:lvlText w:val="(%2)"/>
      <w:numFmt w:val="lowerLetter"/>
      <w:start w:val="1"/>
    </w:lvl>
  </w:abstractNum>
  <w:abstractNum w:abstractNumId="51">
    <w:nsid w:val="47398C89"/>
    <w:multiLevelType w:val="hybridMultilevel"/>
    <w:lvl w:ilvl="0">
      <w:lvlJc w:val="left"/>
      <w:lvlText w:val="(%1)"/>
      <w:numFmt w:val="lowerLetter"/>
      <w:start w:val="4"/>
    </w:lvl>
    <w:lvl w:ilvl="1">
      <w:lvlJc w:val="left"/>
      <w:lvlText w:val="(%2)"/>
      <w:numFmt w:val="lowerRoman"/>
      <w:start w:val="1"/>
    </w:lvl>
  </w:abstractNum>
  <w:abstractNum w:abstractNumId="52">
    <w:nsid w:val="354FE9F9"/>
    <w:multiLevelType w:val="hybridMultilevel"/>
    <w:lvl w:ilvl="0">
      <w:lvlJc w:val="left"/>
      <w:lvlText w:val="(%1)"/>
      <w:numFmt w:val="lowerRoman"/>
      <w:start w:val="3"/>
    </w:lvl>
  </w:abstractNum>
  <w:abstractNum w:abstractNumId="53">
    <w:nsid w:val="15B5AF5C"/>
    <w:multiLevelType w:val="hybridMultilevel"/>
    <w:lvl w:ilvl="0">
      <w:lvlJc w:val="left"/>
      <w:lvlText w:val="(%1)"/>
      <w:numFmt w:val="lowerLetter"/>
      <w:start w:val="8"/>
    </w:lvl>
  </w:abstractNum>
  <w:abstractNum w:abstractNumId="54">
    <w:nsid w:val="741226BB"/>
    <w:multiLevelType w:val="hybridMultilevel"/>
    <w:lvl w:ilvl="0">
      <w:lvlJc w:val="left"/>
      <w:lvlText w:val="(%1)"/>
      <w:numFmt w:val="lowerLetter"/>
      <w:start w:val="14"/>
    </w:lvl>
    <w:lvl w:ilvl="1">
      <w:lvlJc w:val="left"/>
      <w:lvlText w:val="(%2)"/>
      <w:numFmt w:val="lowerRoman"/>
      <w:start w:val="1"/>
    </w:lvl>
  </w:abstractNum>
  <w:abstractNum w:abstractNumId="55">
    <w:nsid w:val="D34B6A8"/>
    <w:multiLevelType w:val="hybridMultilevel"/>
    <w:lvl w:ilvl="0">
      <w:lvlJc w:val="left"/>
      <w:lvlText w:val="(%1)"/>
      <w:numFmt w:val="lowerLetter"/>
      <w:start w:val="15"/>
    </w:lvl>
  </w:abstractNum>
  <w:abstractNum w:abstractNumId="56">
    <w:nsid w:val="10233C99"/>
    <w:multiLevelType w:val="hybridMultilevel"/>
    <w:lvl w:ilvl="0">
      <w:lvlJc w:val="left"/>
      <w:lvlText w:val="%1"/>
      <w:numFmt w:val="lowerLetter"/>
      <w:start w:val="1"/>
    </w:lvl>
    <w:lvl w:ilvl="1">
      <w:lvlJc w:val="left"/>
      <w:lvlText w:val="(%2)"/>
      <w:numFmt w:val="lowerLetter"/>
      <w:start w:val="18"/>
    </w:lvl>
    <w:lvl w:ilvl="2">
      <w:lvlJc w:val="left"/>
      <w:lvlText w:val="%3"/>
      <w:numFmt w:val="lowerRoman"/>
      <w:start w:val="1"/>
    </w:lvl>
  </w:abstractNum>
  <w:abstractNum w:abstractNumId="57">
    <w:nsid w:val="3F6AB60F"/>
    <w:multiLevelType w:val="hybridMultilevel"/>
    <w:lvl w:ilvl="0">
      <w:lvlJc w:val="left"/>
      <w:lvlText w:val="(%1)"/>
      <w:numFmt w:val="lowerLetter"/>
      <w:start w:val="35"/>
    </w:lvl>
    <w:lvl w:ilvl="1">
      <w:lvlJc w:val="left"/>
      <w:lvlText w:val="(%2)"/>
      <w:numFmt w:val="lowerLetter"/>
      <w:start w:val="23"/>
    </w:lvl>
    <w:lvl w:ilvl="2">
      <w:lvlJc w:val="left"/>
      <w:lvlText w:val="(%3)"/>
      <w:numFmt w:val="lowerRoman"/>
      <w:start w:val="1"/>
    </w:lvl>
  </w:abstractNum>
  <w:abstractNum w:abstractNumId="58">
    <w:nsid w:val="61574095"/>
    <w:multiLevelType w:val="hybridMultilevel"/>
    <w:lvl w:ilvl="0">
      <w:lvlJc w:val="left"/>
      <w:lvlText w:val="(%1)"/>
      <w:numFmt w:val="lowerLetter"/>
      <w:start w:val="25"/>
    </w:lvl>
    <w:lvl w:ilvl="1">
      <w:lvlJc w:val="left"/>
      <w:lvlText w:val="(%2)"/>
      <w:numFmt w:val="lowerRoman"/>
      <w:start w:val="1"/>
    </w:lvl>
  </w:abstractNum>
  <w:abstractNum w:abstractNumId="59">
    <w:nsid w:val="7E0C57B1"/>
    <w:multiLevelType w:val="hybridMultilevel"/>
    <w:lvl w:ilvl="0">
      <w:lvlJc w:val="left"/>
      <w:lvlText w:val="(%1)"/>
      <w:numFmt w:val="lowerLetter"/>
      <w:start w:val="26"/>
    </w:lvl>
  </w:abstractNum>
  <w:abstractNum w:abstractNumId="60">
    <w:nsid w:val="77AE35EB"/>
    <w:multiLevelType w:val="hybridMultilevel"/>
    <w:lvl w:ilvl="0">
      <w:lvlJc w:val="left"/>
      <w:lvlText w:val="(%1)"/>
      <w:numFmt w:val="lowerLetter"/>
      <w:start w:val="27"/>
    </w:lvl>
  </w:abstractNum>
  <w:abstractNum w:abstractNumId="61">
    <w:nsid w:val="579BE4F1"/>
    <w:multiLevelType w:val="hybridMultilevel"/>
    <w:lvl w:ilvl="0">
      <w:lvlJc w:val="left"/>
      <w:lvlText w:val="%1"/>
      <w:numFmt w:val="decimal"/>
      <w:start w:val="1"/>
    </w:lvl>
    <w:lvl w:ilvl="1">
      <w:lvlJc w:val="left"/>
      <w:lvlText w:val="(%2)"/>
      <w:numFmt w:val="lowerLetter"/>
      <w:start w:val="37"/>
    </w:lvl>
  </w:abstractNum>
  <w:abstractNum w:abstractNumId="62">
    <w:nsid w:val="310C50B3"/>
    <w:multiLevelType w:val="hybridMultilevel"/>
    <w:lvl w:ilvl="0">
      <w:lvlJc w:val="left"/>
      <w:lvlText w:val="(%1)"/>
      <w:numFmt w:val="decimal"/>
      <w:start w:val="15"/>
    </w:lvl>
    <w:lvl w:ilvl="1">
      <w:lvlJc w:val="left"/>
      <w:lvlText w:val="(%2)"/>
      <w:numFmt w:val="lowerLetter"/>
      <w:start w:val="40"/>
    </w:lvl>
  </w:abstractNum>
  <w:abstractNum w:abstractNumId="63">
    <w:nsid w:val="5FF87E05"/>
    <w:multiLevelType w:val="hybridMultilevel"/>
    <w:lvl w:ilvl="0">
      <w:lvlJc w:val="left"/>
      <w:lvlText w:val="(%1)"/>
      <w:numFmt w:val="lowerLetter"/>
      <w:start w:val="41"/>
    </w:lvl>
  </w:abstractNum>
  <w:abstractNum w:abstractNumId="64">
    <w:nsid w:val="2F305DEF"/>
    <w:multiLevelType w:val="hybridMultilevel"/>
    <w:lvl w:ilvl="0">
      <w:lvlJc w:val="left"/>
      <w:lvlText w:val="(%1)"/>
      <w:numFmt w:val="lowerLetter"/>
      <w:start w:val="5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2026-05-29T17:11:13Z</dcterms:created>
  <dcterms:modified xsi:type="dcterms:W3CDTF">2026-05-29T17:11:13Z</dcterms:modified>
</cp:coreProperties>
</file>