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720"/>
        <w:jc w:val="left"/>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As filed with the Securities and Exchange Commission on August 5, 2026</w:t>
      </w:r>
    </w:p>
    <w:p>
      <w:pPr>
        <w:pStyle w:val="TextBody"/>
        <w:bidi w:val="0"/>
        <w:spacing w:lineRule="auto" w:line="288" w:before="0" w:after="0"/>
        <w:ind w:left="0" w:right="0" w:firstLine="720"/>
        <w:jc w:val="right"/>
        <w:rPr>
          <w:rFonts w:ascii="sans-serif" w:hAnsi="sans-serif"/>
          <w:b w:val="false"/>
          <w:color w:val="000000"/>
          <w:sz w:val="20"/>
        </w:rPr>
      </w:pPr>
      <w:r>
        <w:rPr>
          <w:rFonts w:ascii="sans-serif" w:hAnsi="sans-serif"/>
          <w:b w:val="false"/>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tbl>
      <w:tblPr>
        <w:tblW w:w="4484" w:type="dxa"/>
        <w:jc w:val="center"/>
        <w:tblInd w:w="0" w:type="dxa"/>
        <w:tblLayout w:type="fixed"/>
        <w:tblCellMar>
          <w:top w:w="28" w:type="dxa"/>
          <w:left w:w="28" w:type="dxa"/>
          <w:bottom w:w="28" w:type="dxa"/>
          <w:right w:w="28" w:type="dxa"/>
        </w:tblCellMar>
      </w:tblPr>
      <w:tblGrid>
        <w:gridCol w:w="1434"/>
        <w:gridCol w:w="1262"/>
        <w:gridCol w:w="1788"/>
      </w:tblGrid>
      <w:tr>
        <w:trPr/>
        <w:tc>
          <w:tcPr>
            <w:tcW w:w="143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sans-serif" w:hAnsi="sans-serif"/>
                <w:b/>
                <w:color w:val="000000"/>
                <w:sz w:val="32"/>
              </w:rPr>
            </w:pPr>
            <w:r>
              <w:rPr>
                <w:rFonts w:ascii="sans-serif" w:hAnsi="sans-serif"/>
                <w:b/>
                <w:color w:val="000000"/>
                <w:sz w:val="32"/>
              </w:rPr>
              <w:t>FORM S-8</w:t>
            </w:r>
          </w:p>
          <w:p>
            <w:pPr>
              <w:pStyle w:val="TableContents"/>
              <w:bidi w:val="0"/>
              <w:spacing w:lineRule="auto" w:line="240" w:before="40" w:after="283"/>
              <w:jc w:val="center"/>
              <w:rPr>
                <w:rFonts w:ascii="sans-serif" w:hAnsi="sans-serif"/>
                <w:b w:val="false"/>
                <w:color w:val="000000"/>
                <w:sz w:val="24"/>
              </w:rPr>
            </w:pPr>
            <w:r>
              <w:rPr>
                <w:rFonts w:ascii="sans-serif" w:hAnsi="sans-serif"/>
                <w:b w:val="false"/>
                <w:color w:val="000000"/>
                <w:sz w:val="24"/>
              </w:rPr>
              <w:t>REGISTRATION STATEMENT</w:t>
            </w:r>
          </w:p>
          <w:p>
            <w:pPr>
              <w:pStyle w:val="TableContents"/>
              <w:bidi w:val="0"/>
              <w:spacing w:lineRule="auto" w:line="240" w:before="0" w:after="0"/>
              <w:jc w:val="center"/>
              <w:rPr>
                <w:rFonts w:ascii="sans-serif" w:hAnsi="sans-serif"/>
                <w:b w:val="false"/>
                <w:i/>
                <w:color w:val="000000"/>
                <w:sz w:val="24"/>
              </w:rPr>
            </w:pPr>
            <w:r>
              <w:rPr>
                <w:rFonts w:ascii="sans-serif" w:hAnsi="sans-serif"/>
                <w:b w:val="false"/>
                <w:i/>
                <w:color w:val="000000"/>
                <w:sz w:val="24"/>
              </w:rPr>
              <w:t>UNDER</w:t>
            </w:r>
          </w:p>
          <w:p>
            <w:pPr>
              <w:pStyle w:val="TableContents"/>
              <w:bidi w:val="0"/>
              <w:spacing w:lineRule="auto" w:line="240" w:before="0" w:after="0"/>
              <w:jc w:val="center"/>
              <w:rPr>
                <w:rFonts w:ascii="sans-serif" w:hAnsi="sans-serif"/>
                <w:b w:val="false"/>
                <w:i/>
                <w:color w:val="000000"/>
                <w:sz w:val="24"/>
              </w:rPr>
            </w:pPr>
            <w:r>
              <w:rPr>
                <w:rFonts w:ascii="sans-serif" w:hAnsi="sans-serif"/>
                <w:b w:val="false"/>
                <w:i/>
                <w:color w:val="000000"/>
                <w:sz w:val="24"/>
              </w:rPr>
              <w:t>THE SECURITIES ACT OF 1933</w:t>
            </w:r>
          </w:p>
        </w:tc>
      </w:tr>
      <w:tr>
        <w:trPr/>
        <w:tc>
          <w:tcPr>
            <w:tcW w:w="4484"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8288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09600"/>
                          </a:xfrm>
                          <a:prstGeom prst="rect">
                            <a:avLst/>
                          </a:prstGeom>
                        </pic:spPr>
                      </pic:pic>
                    </a:graphicData>
                  </a:graphic>
                </wp:inline>
              </w:drawing>
            </w:r>
          </w:p>
        </w:tc>
      </w:tr>
      <w:tr>
        <w:trPr/>
        <w:tc>
          <w:tcPr>
            <w:tcW w:w="4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sans-serif" w:hAnsi="sans-serif"/>
                <w:b/>
                <w:color w:val="000000"/>
                <w:sz w:val="32"/>
              </w:rPr>
            </w:pPr>
            <w:r>
              <w:rPr>
                <w:rFonts w:ascii="sans-serif" w:hAnsi="sans-serif"/>
                <w:b/>
                <w:color w:val="000000"/>
                <w:sz w:val="32"/>
              </w:rPr>
              <w:t>EXELIXIS, INC.</w:t>
            </w:r>
          </w:p>
          <w:p>
            <w:pPr>
              <w:pStyle w:val="TableContents"/>
              <w:bidi w:val="0"/>
              <w:spacing w:lineRule="auto" w:line="240" w:before="0" w:after="0"/>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p>
      <w:pPr>
        <w:pStyle w:val="TextBody"/>
        <w:bidi w:val="0"/>
        <w:spacing w:before="0" w:after="0"/>
        <w:ind w:left="0" w:right="0" w:firstLine="720"/>
        <w:jc w:val="center"/>
        <w:rPr/>
      </w:pPr>
      <w:r>
        <w:rPr/>
      </w:r>
    </w:p>
    <w:tbl>
      <w:tblPr>
        <w:tblW w:w="8430" w:type="dxa"/>
        <w:jc w:val="center"/>
        <w:tblInd w:w="0" w:type="dxa"/>
        <w:tblLayout w:type="fixed"/>
        <w:tblCellMar>
          <w:top w:w="28" w:type="dxa"/>
          <w:left w:w="28" w:type="dxa"/>
          <w:bottom w:w="28" w:type="dxa"/>
          <w:right w:w="28" w:type="dxa"/>
        </w:tblCellMar>
      </w:tblPr>
      <w:tblGrid>
        <w:gridCol w:w="1830"/>
        <w:gridCol w:w="1606"/>
        <w:gridCol w:w="1619"/>
        <w:gridCol w:w="989"/>
        <w:gridCol w:w="989"/>
        <w:gridCol w:w="1397"/>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04-3257395</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 Identification Number)</w:t>
            </w:r>
          </w:p>
        </w:tc>
      </w:tr>
    </w:tbl>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1851 Harbor Bay Parkway</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Alameda, CA 94502</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(Address of Principal Executive Offices, including Zip Code) </w:t>
      </w:r>
    </w:p>
    <w:tbl>
      <w:tblPr>
        <w:tblW w:w="10109" w:type="dxa"/>
        <w:jc w:val="center"/>
        <w:tblInd w:w="0" w:type="dxa"/>
        <w:tblLayout w:type="fixed"/>
        <w:tblCellMar>
          <w:top w:w="28" w:type="dxa"/>
          <w:left w:w="28" w:type="dxa"/>
          <w:bottom w:w="28" w:type="dxa"/>
          <w:right w:w="28" w:type="dxa"/>
        </w:tblCellMar>
      </w:tblPr>
      <w:tblGrid>
        <w:gridCol w:w="3234"/>
        <w:gridCol w:w="2843"/>
        <w:gridCol w:w="4032"/>
      </w:tblGrid>
      <w:tr>
        <w:trPr/>
        <w:tc>
          <w:tcPr>
            <w:tcW w:w="3234"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32" w:type="dxa"/>
            <w:tcBorders/>
            <w:vAlign w:val="center"/>
          </w:tcPr>
          <w:p>
            <w:pPr>
              <w:pStyle w:val="TableContents"/>
              <w:bidi w:val="0"/>
              <w:spacing w:before="0" w:after="283"/>
              <w:jc w:val="left"/>
              <w:rPr>
                <w:sz w:val="4"/>
                <w:szCs w:val="4"/>
              </w:rPr>
            </w:pPr>
            <w:r>
              <w:rPr>
                <w:sz w:val="4"/>
                <w:szCs w:val="4"/>
              </w:rPr>
            </w:r>
          </w:p>
        </w:tc>
      </w:tr>
      <w:tr>
        <w:trPr/>
        <w:tc>
          <w:tcPr>
            <w:tcW w:w="10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32"/>
              </w:rPr>
            </w:pPr>
            <w:r>
              <w:rPr>
                <w:rFonts w:ascii="sans-serif" w:hAnsi="sans-serif"/>
                <w:b/>
                <w:color w:val="000000"/>
                <w:sz w:val="32"/>
              </w:rPr>
              <w:t>AMENDED AND RESTATED 2017 EQUITY INCENTIVE PLAN</w:t>
            </w:r>
          </w:p>
          <w:p>
            <w:pPr>
              <w:pStyle w:val="TableContents"/>
              <w:bidi w:val="0"/>
              <w:spacing w:lineRule="auto" w:line="417" w:before="0" w:after="120"/>
              <w:jc w:val="center"/>
              <w:rPr>
                <w:rFonts w:ascii="sans-serif" w:hAnsi="sans-serif"/>
                <w:b w:val="false"/>
                <w:color w:val="000000"/>
                <w:sz w:val="16"/>
              </w:rPr>
            </w:pPr>
            <w:r>
              <w:rPr>
                <w:rFonts w:ascii="sans-serif" w:hAnsi="sans-serif"/>
                <w:b w:val="false"/>
                <w:color w:val="000000"/>
                <w:sz w:val="16"/>
              </w:rPr>
              <w:t>(Full Title of the Plan)</w:t>
            </w:r>
          </w:p>
        </w:tc>
      </w:tr>
    </w:tbl>
    <w:p>
      <w:pPr>
        <w:pStyle w:val="TextBody"/>
        <w:bidi w:val="0"/>
        <w:spacing w:lineRule="auto" w:line="288" w:before="60" w:after="283"/>
        <w:jc w:val="center"/>
        <w:rPr>
          <w:rFonts w:ascii="sans-serif" w:hAnsi="sans-serif"/>
          <w:b/>
          <w:color w:val="000000"/>
          <w:sz w:val="20"/>
        </w:rPr>
      </w:pPr>
      <w:r>
        <w:rPr>
          <w:rFonts w:ascii="sans-serif" w:hAnsi="sans-serif"/>
          <w:b/>
          <w:color w:val="000000"/>
          <w:sz w:val="20"/>
        </w:rPr>
        <w:t>Michael M. Morrissey</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President and Chief Executive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Exelixis,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1851 Harbor Bay Parkway</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Alameda, CA 94502</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(650) 837-7000</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(Name, Address, and Telephone Number, including Area Code, of Agent for Service) </w:t>
      </w:r>
    </w:p>
    <w:tbl>
      <w:tblPr>
        <w:tblW w:w="9705" w:type="dxa"/>
        <w:jc w:val="center"/>
        <w:tblInd w:w="0" w:type="dxa"/>
        <w:tblLayout w:type="fixed"/>
        <w:tblCellMar>
          <w:top w:w="28" w:type="dxa"/>
          <w:left w:w="28" w:type="dxa"/>
          <w:bottom w:w="28" w:type="dxa"/>
          <w:right w:w="28" w:type="dxa"/>
        </w:tblCellMar>
      </w:tblPr>
      <w:tblGrid>
        <w:gridCol w:w="1747"/>
        <w:gridCol w:w="1539"/>
        <w:gridCol w:w="1544"/>
        <w:gridCol w:w="1418"/>
        <w:gridCol w:w="1418"/>
        <w:gridCol w:w="2039"/>
      </w:tblGrid>
      <w:tr>
        <w:trPr/>
        <w:tc>
          <w:tcPr>
            <w:tcW w:w="174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9705"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sans-serif" w:hAnsi="sans-serif"/>
                <w:b w:val="false"/>
                <w:i/>
                <w:color w:val="000000"/>
                <w:sz w:val="16"/>
              </w:rPr>
            </w:pPr>
            <w:r>
              <w:rPr>
                <w:rFonts w:ascii="sans-serif" w:hAnsi="sans-serif"/>
                <w:b w:val="false"/>
                <w:i/>
                <w:color w:val="000000"/>
                <w:sz w:val="16"/>
              </w:rPr>
              <w:t>Copies to:</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Brenda J. Hefti</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Raquel Fox</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Senior Vice President and General Counsel</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Skadden, Arps, Slate, Meagher &amp; Flom LLP</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Exelixis, Inc.</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1440 New York Ave NW</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1851 Harbor Bay Parkway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Washington, DC 20005</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Alameda, CA 94502</w:t>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216" w:type="dxa"/>
        <w:jc w:val="center"/>
        <w:tblInd w:w="0" w:type="dxa"/>
        <w:tblLayout w:type="fixed"/>
        <w:tblCellMar>
          <w:top w:w="28" w:type="dxa"/>
          <w:left w:w="28" w:type="dxa"/>
          <w:bottom w:w="28" w:type="dxa"/>
          <w:right w:w="28" w:type="dxa"/>
        </w:tblCellMar>
      </w:tblPr>
      <w:tblGrid>
        <w:gridCol w:w="946"/>
        <w:gridCol w:w="830"/>
        <w:gridCol w:w="833"/>
        <w:gridCol w:w="109"/>
        <w:gridCol w:w="109"/>
        <w:gridCol w:w="109"/>
        <w:gridCol w:w="109"/>
        <w:gridCol w:w="109"/>
        <w:gridCol w:w="109"/>
        <w:gridCol w:w="859"/>
        <w:gridCol w:w="859"/>
        <w:gridCol w:w="863"/>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pPr>
      <w:r>
        <w:rPr>
          <w:rFonts w:ascii="sans-serif" w:hAns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firstLine="72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180" w:after="283"/>
                        <w:ind w:left="0" w:right="0" w:firstLine="720"/>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 xml:space="preserve">EXPLANATORY NOTE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This Registration Statement on Form S-8 is being filed by Exelixis, Inc. (the “Company”) for the purpose of registering an additional 2,000,000 shares of common stock, par value $0.001 per share (the “Common Stock”) to be issued pursuant to the Amended and Restated 2017 Equity Incentive Plan (the "2017 Plan"). The shares of the Common Stock previously reserved for issuance under the 2017 Plan were registered on the Company's Registration Statements on Form S-8 previously originally filed with the Securities and Exchange Commission (the "Commission") on May 25, 2017 (File No. 333-218236), August 1, 2018 (File No. 333-226493), August 6, 2020 (File No. 333-241667) and August 9, 2022 (File No. 333-266707) (as amended, collectively, the “Prior Registration Statements”).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This Registration Statement on Form S-8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to the extent relating to the registration of Common Stock issuable under the 2017 Plan, are incorporated herein by reference and made part of this Registration Statement, except as amended hereby.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firstLine="7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180" w:after="283"/>
                        <w:ind w:left="0" w:right="0" w:firstLine="72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PART II</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INFORMATION REQUIRED IN THE REGISTRATION STATEMENT</w:t>
      </w: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3. INCORPORATION OF DOCUMENTS BY REFERENCE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following documents filed by the Company with the Commission are incorporated by reference into this Registration Statement:</w:t>
      </w:r>
    </w:p>
    <w:p>
      <w:pPr>
        <w:pStyle w:val="TextBody"/>
        <w:bidi w:val="0"/>
        <w:spacing w:lineRule="auto" w:line="288" w:before="60" w:after="283"/>
        <w:ind w:left="0" w:right="0" w:hanging="180"/>
        <w:jc w:val="left"/>
        <w:rPr/>
      </w:pPr>
      <w:r>
        <w:rPr>
          <w:color w:val="000000"/>
        </w:rPr>
        <w:t>•</w:t>
      </w:r>
      <w:r>
        <w:rPr>
          <w:rFonts w:ascii="sans-serif" w:hAnsi="sans-serif"/>
          <w:b w:val="false"/>
          <w:color w:val="000000"/>
          <w:sz w:val="20"/>
        </w:rPr>
        <w:t xml:space="preserve">The Company’s Annual Report on </w:t>
      </w:r>
      <w:hyperlink r:id="rId3">
        <w:r>
          <w:rPr>
            <w:rStyle w:val="InternetLink"/>
            <w:rFonts w:ascii="sans-serif" w:hAnsi="sans-serif"/>
            <w:b w:val="false"/>
            <w:color w:val="0000FF"/>
            <w:sz w:val="20"/>
            <w:u w:val="single"/>
          </w:rPr>
          <w:t>Form 10-K</w:t>
        </w:r>
      </w:hyperlink>
      <w:r>
        <w:rPr>
          <w:color w:val="000000"/>
        </w:rPr>
        <w:t xml:space="preserve"> </w:t>
      </w:r>
      <w:r>
        <w:rPr>
          <w:rFonts w:ascii="sans-serif" w:hAnsi="sans-serif"/>
          <w:b w:val="false"/>
          <w:color w:val="000000"/>
          <w:sz w:val="20"/>
        </w:rPr>
        <w:t>for the fiscal year ended January 2, 2026 (the “Form 10-K”), filed on February 10, 2026;</w:t>
      </w:r>
    </w:p>
    <w:p>
      <w:pPr>
        <w:pStyle w:val="TextBody"/>
        <w:bidi w:val="0"/>
        <w:spacing w:lineRule="auto" w:line="288" w:before="60" w:after="283"/>
        <w:ind w:left="0" w:right="0" w:hanging="180"/>
        <w:jc w:val="left"/>
        <w:rPr/>
      </w:pPr>
      <w:r>
        <w:rPr>
          <w:color w:val="000000"/>
        </w:rPr>
        <w:t>•</w:t>
      </w:r>
      <w:r>
        <w:rPr>
          <w:rFonts w:ascii="sans-serif" w:hAnsi="sans-serif"/>
          <w:b w:val="false"/>
          <w:color w:val="000000"/>
          <w:sz w:val="20"/>
        </w:rPr>
        <w:t xml:space="preserve">The Company’s Quarterly Report on </w:t>
      </w:r>
      <w:hyperlink r:id="rId4">
        <w:r>
          <w:rPr>
            <w:rStyle w:val="InternetLink"/>
            <w:rFonts w:ascii="sans-serif" w:hAnsi="sans-serif"/>
            <w:b w:val="false"/>
            <w:color w:val="0000FF"/>
            <w:sz w:val="20"/>
            <w:u w:val="single"/>
          </w:rPr>
          <w:t>Form 10-Q</w:t>
        </w:r>
      </w:hyperlink>
      <w:r>
        <w:rPr>
          <w:color w:val="000000"/>
        </w:rPr>
        <w:t xml:space="preserve"> </w:t>
      </w:r>
      <w:r>
        <w:rPr>
          <w:rFonts w:ascii="sans-serif" w:hAnsi="sans-serif"/>
          <w:b w:val="false"/>
          <w:color w:val="000000"/>
          <w:sz w:val="20"/>
        </w:rPr>
        <w:t>for the fiscal quarter ended April 3, 2026, filed on May 5, 2026;</w:t>
      </w:r>
    </w:p>
    <w:p>
      <w:pPr>
        <w:pStyle w:val="TextBody"/>
        <w:bidi w:val="0"/>
        <w:spacing w:lineRule="auto" w:line="288" w:before="60" w:after="283"/>
        <w:ind w:left="0" w:right="0" w:hanging="180"/>
        <w:jc w:val="left"/>
        <w:rPr/>
      </w:pPr>
      <w:r>
        <w:rPr>
          <w:color w:val="000000"/>
        </w:rPr>
        <w:t>•</w:t>
      </w:r>
      <w:r>
        <w:rPr>
          <w:rFonts w:ascii="sans-serif" w:hAnsi="sans-serif"/>
          <w:b w:val="false"/>
          <w:color w:val="000000"/>
          <w:sz w:val="20"/>
        </w:rPr>
        <w:t xml:space="preserve">The Company's Quarterly Report on </w:t>
      </w:r>
      <w:hyperlink r:id="rId5">
        <w:r>
          <w:rPr>
            <w:rStyle w:val="InternetLink"/>
          </w:rPr>
          <w:t>Form 10-Q</w:t>
        </w:r>
      </w:hyperlink>
      <w:hyperlink r:id="rId6">
        <w:r>
          <w:rPr>
            <w:rStyle w:val="InternetLink"/>
          </w:rPr>
          <w:t xml:space="preserve"> </w:t>
        </w:r>
      </w:hyperlink>
      <w:r>
        <w:rPr>
          <w:rFonts w:ascii="sans-serif" w:hAnsi="sans-serif"/>
          <w:b w:val="false"/>
          <w:color w:val="000000"/>
          <w:sz w:val="20"/>
        </w:rPr>
        <w:t>for the fiscal quarter ended July 3, 2026, filed on August 5, 2026;</w:t>
      </w:r>
    </w:p>
    <w:p>
      <w:pPr>
        <w:pStyle w:val="TextBody"/>
        <w:bidi w:val="0"/>
        <w:spacing w:lineRule="auto" w:line="288" w:before="60" w:after="283"/>
        <w:ind w:left="0" w:right="0" w:hanging="180"/>
        <w:jc w:val="left"/>
        <w:rPr/>
      </w:pPr>
      <w:r>
        <w:rPr>
          <w:color w:val="000000"/>
        </w:rPr>
        <w:t>•</w:t>
      </w:r>
      <w:r>
        <w:rPr>
          <w:rFonts w:ascii="sans-serif" w:hAnsi="sans-serif"/>
          <w:b w:val="false"/>
          <w:color w:val="000000"/>
          <w:sz w:val="20"/>
        </w:rPr>
        <w:t>The Company’s Current Reports on Form 8-K filed on</w:t>
      </w:r>
      <w:hyperlink r:id="rId7">
        <w:r>
          <w:rPr>
            <w:rStyle w:val="InternetLink"/>
            <w:color w:val="0000FF"/>
            <w:u w:val="single"/>
          </w:rPr>
          <w:t xml:space="preserve"> </w:t>
        </w:r>
      </w:hyperlink>
      <w:hyperlink r:id="rId8">
        <w:r>
          <w:rPr>
            <w:rStyle w:val="InternetLink"/>
          </w:rPr>
          <w:t xml:space="preserve">May </w:t>
        </w:r>
      </w:hyperlink>
      <w:hyperlink r:id="rId9">
        <w:r>
          <w:rPr>
            <w:rStyle w:val="InternetLink"/>
          </w:rPr>
          <w:t>5</w:t>
        </w:r>
      </w:hyperlink>
      <w:hyperlink r:id="rId10">
        <w:r>
          <w:rPr>
            <w:rStyle w:val="InternetLink"/>
          </w:rPr>
          <w:t xml:space="preserve">, </w:t>
        </w:r>
      </w:hyperlink>
      <w:hyperlink r:id="rId11">
        <w:r>
          <w:rPr>
            <w:rStyle w:val="InternetLink"/>
          </w:rPr>
          <w:t>2026</w:t>
        </w:r>
      </w:hyperlink>
      <w:r>
        <w:rPr>
          <w:color w:val="000000"/>
        </w:rPr>
        <w:t xml:space="preserve"> </w:t>
      </w:r>
      <w:r>
        <w:rPr>
          <w:rFonts w:ascii="sans-serif" w:hAnsi="sans-serif"/>
          <w:b w:val="false"/>
          <w:color w:val="000000"/>
          <w:sz w:val="20"/>
        </w:rPr>
        <w:t xml:space="preserve">(but not including any Item 2.02 and Exhibit 99.1 of such filing, which were furnished under applicable Commission rules rather than filed), </w:t>
      </w:r>
      <w:hyperlink r:id="rId12">
        <w:r>
          <w:rPr>
            <w:rStyle w:val="InternetLink"/>
            <w:rFonts w:ascii="sans-serif" w:hAnsi="sans-serif"/>
            <w:b w:val="false"/>
            <w:color w:val="0000FF"/>
            <w:sz w:val="20"/>
            <w:u w:val="single"/>
          </w:rPr>
          <w:t>May 29, 2026</w:t>
        </w:r>
      </w:hyperlink>
      <w:r>
        <w:rPr>
          <w:rFonts w:ascii="sans-serif" w:hAnsi="sans-serif"/>
          <w:b w:val="false"/>
          <w:color w:val="000000"/>
          <w:sz w:val="20"/>
        </w:rPr>
        <w:t xml:space="preserve">, and </w:t>
      </w:r>
      <w:hyperlink r:id="rId13">
        <w:r>
          <w:rPr>
            <w:rStyle w:val="InternetLink"/>
          </w:rPr>
          <w:t>August</w:t>
        </w:r>
      </w:hyperlink>
      <w:hyperlink r:id="rId14">
        <w:r>
          <w:rPr>
            <w:rStyle w:val="InternetLink"/>
          </w:rPr>
          <w:t xml:space="preserve"> 5, 2026</w:t>
        </w:r>
      </w:hyperlink>
      <w:r>
        <w:rPr>
          <w:rFonts w:ascii="sans-serif" w:hAnsi="sans-serif"/>
          <w:b w:val="false"/>
          <w:color w:val="000000"/>
          <w:sz w:val="20"/>
        </w:rPr>
        <w:t xml:space="preserve">; and </w:t>
      </w:r>
    </w:p>
    <w:p>
      <w:pPr>
        <w:pStyle w:val="TextBody"/>
        <w:bidi w:val="0"/>
        <w:spacing w:lineRule="auto" w:line="288" w:before="60" w:after="283"/>
        <w:ind w:left="0" w:right="0" w:hanging="180"/>
        <w:jc w:val="left"/>
        <w:rPr/>
      </w:pPr>
      <w:r>
        <w:rPr>
          <w:color w:val="000000"/>
        </w:rPr>
        <w:t>•</w:t>
      </w:r>
      <w:r>
        <w:rPr>
          <w:rFonts w:ascii="sans-serif" w:hAnsi="sans-serif"/>
          <w:b w:val="false"/>
          <w:color w:val="000000"/>
          <w:sz w:val="20"/>
        </w:rPr>
        <w:t xml:space="preserve">The description of the Company’s common stock that is contained in the Company’s Registration Statement on </w:t>
      </w:r>
      <w:hyperlink r:id="rId15">
        <w:r>
          <w:rPr>
            <w:rStyle w:val="InternetLink"/>
            <w:rFonts w:ascii="sans-serif" w:hAnsi="sans-serif"/>
            <w:b w:val="false"/>
            <w:color w:val="0000FF"/>
            <w:sz w:val="20"/>
            <w:u w:val="single"/>
          </w:rPr>
          <w:t>Form 8-A</w:t>
        </w:r>
      </w:hyperlink>
      <w:r>
        <w:rPr>
          <w:color w:val="000000"/>
        </w:rPr>
        <w:t xml:space="preserve"> </w:t>
      </w:r>
      <w:r>
        <w:rPr>
          <w:rFonts w:ascii="sans-serif" w:hAnsi="sans-serif"/>
          <w:b w:val="false"/>
          <w:color w:val="000000"/>
          <w:sz w:val="20"/>
        </w:rPr>
        <w:t xml:space="preserve">(File No. 000-30235), filed with the Commission on April 6, 2000, pursuant to Section 12 under the Securities Exchange Act of 1934, as amended (the “Exchange Act”), including any amendment or report filed for the purpose of updating such description, including </w:t>
      </w:r>
      <w:hyperlink r:id="rId16">
        <w:r>
          <w:rPr>
            <w:rStyle w:val="InternetLink"/>
            <w:rFonts w:ascii="sans-serif" w:hAnsi="sans-serif"/>
            <w:b w:val="false"/>
            <w:color w:val="0000FF"/>
            <w:sz w:val="20"/>
            <w:u w:val="single"/>
          </w:rPr>
          <w:t>Exhibit 4.2</w:t>
        </w:r>
      </w:hyperlink>
      <w:r>
        <w:rPr>
          <w:color w:val="000000"/>
        </w:rPr>
        <w:t xml:space="preserve"> </w:t>
      </w:r>
      <w:r>
        <w:rPr>
          <w:rFonts w:ascii="sans-serif" w:hAnsi="sans-serif"/>
          <w:b w:val="false"/>
          <w:color w:val="000000"/>
          <w:sz w:val="20"/>
        </w:rPr>
        <w:t>to the Form 10-K.</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All reports and other documents subsequently filed by the Company pursuant to Sections 13(a), 13(c), 14 and 15(d) of the Exchange Act after the date of this Registration Statement and prior to the filing of a post-effective amendment that indicates that all securities offered have been sold or that deregisters all securities then remaining unsold, shall be deemed to be incorporated by reference herein and to be a part of this Registration Statement from the date of the filing of such reports and documents. Notwithstanding the foregoing, unless specifically stated to the contrary, none of the information that the Company discloses under Items 2.02 or 7.01 of any Current Report on Form 8-K that it may from time to time furnish to the Commission will be incorporated by reference into, or otherwise included in, this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80" w:after="283"/>
        <w:ind w:left="0" w:right="0" w:firstLine="720"/>
        <w:jc w:val="left"/>
        <w:rPr/>
      </w:pPr>
      <w:r>
        <w:rPr/>
      </w:r>
    </w:p>
    <w:p>
      <w:pPr>
        <w:pStyle w:val="TextBody"/>
        <w:bidi w:val="0"/>
        <w:spacing w:before="180" w:after="283"/>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8. EXHIBITS</w:t>
      </w:r>
    </w:p>
    <w:tbl>
      <w:tblPr>
        <w:tblW w:w="10205"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1129"/>
        <w:gridCol w:w="971"/>
        <w:gridCol w:w="974"/>
        <w:gridCol w:w="109"/>
        <w:gridCol w:w="109"/>
        <w:gridCol w:w="109"/>
        <w:gridCol w:w="195"/>
        <w:gridCol w:w="195"/>
        <w:gridCol w:w="196"/>
        <w:gridCol w:w="113"/>
        <w:gridCol w:w="113"/>
        <w:gridCol w:w="113"/>
        <w:gridCol w:w="308"/>
        <w:gridCol w:w="308"/>
        <w:gridCol w:w="309"/>
        <w:gridCol w:w="113"/>
        <w:gridCol w:w="113"/>
        <w:gridCol w:w="113"/>
        <w:gridCol w:w="340"/>
        <w:gridCol w:w="340"/>
        <w:gridCol w:w="341"/>
        <w:gridCol w:w="113"/>
        <w:gridCol w:w="113"/>
        <w:gridCol w:w="113"/>
        <w:gridCol w:w="259"/>
        <w:gridCol w:w="259"/>
        <w:gridCol w:w="261"/>
        <w:gridCol w:w="109"/>
        <w:gridCol w:w="109"/>
        <w:gridCol w:w="109"/>
        <w:gridCol w:w="285"/>
        <w:gridCol w:w="285"/>
        <w:gridCol w:w="41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Exhibit</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Filed</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Herewith</w:t>
            </w:r>
          </w:p>
        </w:tc>
      </w:tr>
      <w:tr>
        <w:trPr/>
        <w:tc>
          <w:tcPr>
            <w:tcW w:w="8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File Number</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Exhibit/</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Appendix</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Reference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sans-serif" w:hAnsi="sans-serif"/>
                  <w:b w:val="false"/>
                  <w:color w:val="0000FF"/>
                  <w:sz w:val="20"/>
                  <w:u w:val="single"/>
                </w:rPr>
                <w:t>Restated Certificate of Incorporation of Exelixis,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sans-serif" w:hAnsi="sans-serif"/>
                  <w:b w:val="false"/>
                  <w:color w:val="0000FF"/>
                  <w:sz w:val="20"/>
                  <w:u w:val="single"/>
                </w:rPr>
                <w:t>Certificate of Change of Registered Agent and/or Registered Office of Exelixis,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sans-serif" w:hAnsi="sans-serif"/>
                  <w:b w:val="false"/>
                  <w:color w:val="0000FF"/>
                  <w:sz w:val="20"/>
                  <w:u w:val="single"/>
                </w:rPr>
                <w:t>Amended and Restated Bylaws of Exelixis,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12/20/2023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el-2026formsx8ex5legal.htm">
              <w:r>
                <w:rPr>
                  <w:rStyle w:val="InternetLink"/>
                  <w:rFonts w:ascii="sans-serif" w:hAnsi="sans-serif"/>
                  <w:b w:val="false"/>
                  <w:color w:val="0000FF"/>
                  <w:sz w:val="20"/>
                  <w:u w:val="single"/>
                </w:rPr>
                <w:t>Opinion of Skadden, Arps, Slate, Meagher &amp; Flom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el202608x2026s-8ex231.htm">
              <w:r>
                <w:rPr>
                  <w:rStyle w:val="InternetLink"/>
                  <w:rFonts w:ascii="sans-serif" w:hAnsi="sans-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el-2026formsx8ex5legal.htm">
              <w:r>
                <w:rPr>
                  <w:rStyle w:val="InternetLink"/>
                  <w:rFonts w:ascii="sans-serif" w:hAnsi="sans-serif"/>
                  <w:b w:val="false"/>
                  <w:color w:val="0000FF"/>
                  <w:sz w:val="20"/>
                  <w:u w:val="single"/>
                </w:rPr>
                <w:t>Consent of Skadden, Arps, Slate, Meagher &amp; Flom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635ff8de7741cdbae46b6d9665220a_13">
              <w:r>
                <w:rPr>
                  <w:rStyle w:val="InternetLink"/>
                  <w:rFonts w:ascii="sans-serif" w:hAnsi="sans-serif"/>
                  <w:b w:val="false"/>
                  <w:color w:val="0000FF"/>
                  <w:sz w:val="20"/>
                  <w:u w:val="single"/>
                </w:rPr>
                <w:t>Power of Attorney (contained on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sans-serif" w:hAnsi="sans-serif"/>
                  <w:b w:val="false"/>
                  <w:color w:val="0000FF"/>
                  <w:sz w:val="20"/>
                  <w:u w:val="single"/>
                </w:rPr>
                <w:t>Exelixis, Inc. 2017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000-30235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sans-serif" w:hAnsi="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firstLine="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Pursuant to the requirements of the Securities Act of 1933, as amended, the registrant certifies that it has reasonable grounds to believe that it meets all of the requirements for filing on Form S</w:t>
        <w:noBreakHyphen/>
        <w:t>8 and has duly caused this Registration Statement to be signed on its behalf by the undersigned, thereunto duly authorized, in the City of Alameda, State of California, on August 5, 2026.</w:t>
      </w:r>
    </w:p>
    <w:tbl>
      <w:tblPr>
        <w:tblW w:w="4617" w:type="dxa"/>
        <w:jc w:val="right"/>
        <w:tblInd w:w="0" w:type="dxa"/>
        <w:tblLayout w:type="fixed"/>
        <w:tblCellMar>
          <w:top w:w="28" w:type="dxa"/>
          <w:left w:w="28" w:type="dxa"/>
          <w:bottom w:w="28" w:type="dxa"/>
          <w:right w:w="28" w:type="dxa"/>
        </w:tblCellMar>
      </w:tblPr>
      <w:tblGrid>
        <w:gridCol w:w="304"/>
        <w:gridCol w:w="267"/>
        <w:gridCol w:w="267"/>
        <w:gridCol w:w="1099"/>
        <w:gridCol w:w="1099"/>
        <w:gridCol w:w="158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46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EXELIXIS, INC.</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By: </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 xml:space="preserve">/s/ </w:t>
            </w:r>
            <w:r>
              <w:rPr>
                <w:rFonts w:ascii="sans-serif" w:hAnsi="sans-serif"/>
                <w:b w:val="false"/>
                <w:color w:val="000000"/>
                <w:sz w:val="24"/>
              </w:rPr>
              <w:t>M</w:t>
            </w:r>
            <w:r>
              <w:rPr>
                <w:rFonts w:ascii="sans-serif" w:hAnsi="sans-serif"/>
                <w:b w:val="false"/>
                <w:color w:val="000000"/>
                <w:sz w:val="20"/>
              </w:rPr>
              <w:t xml:space="preserve">ichael </w:t>
            </w:r>
            <w:r>
              <w:rPr>
                <w:rFonts w:ascii="sans-serif" w:hAnsi="sans-serif"/>
                <w:b w:val="false"/>
                <w:color w:val="000000"/>
                <w:sz w:val="24"/>
              </w:rPr>
              <w:t>M</w:t>
            </w:r>
            <w:r>
              <w:rPr>
                <w:rFonts w:ascii="sans-serif" w:hAnsi="sans-serif"/>
                <w:b w:val="false"/>
                <w:color w:val="000000"/>
                <w:sz w:val="20"/>
              </w:rPr>
              <w:t xml:space="preserve">. </w:t>
            </w:r>
            <w:r>
              <w:rPr>
                <w:rFonts w:ascii="sans-serif" w:hAnsi="sans-serif"/>
                <w:b w:val="false"/>
                <w:color w:val="000000"/>
                <w:sz w:val="24"/>
              </w:rPr>
              <w:t>M</w:t>
            </w:r>
            <w:r>
              <w:rPr>
                <w:rFonts w:ascii="sans-serif" w:hAnsi="sans-serif"/>
                <w:b w:val="false"/>
                <w:color w:val="000000"/>
                <w:sz w:val="20"/>
              </w:rPr>
              <w:t>orrissey</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Michael M. Morrissey, Ph. D.</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President and Chief Executive Officer</w:t>
            </w:r>
          </w:p>
        </w:tc>
      </w:tr>
    </w:tbl>
    <w:p>
      <w:pPr>
        <w:pStyle w:val="TextBody"/>
        <w:bidi w:val="0"/>
        <w:spacing w:lineRule="auto" w:line="288" w:before="180" w:after="283"/>
        <w:ind w:left="0" w:right="0" w:firstLine="720"/>
        <w:jc w:val="center"/>
        <w:rPr>
          <w:rFonts w:ascii="sans-serif" w:hAnsi="sans-serif"/>
          <w:b/>
          <w:color w:val="000000"/>
          <w:sz w:val="20"/>
        </w:rPr>
      </w:pPr>
      <w:r>
        <w:rPr>
          <w:rFonts w:ascii="sans-serif" w:hAnsi="sans-serif"/>
          <w:b/>
          <w:color w:val="000000"/>
          <w:sz w:val="20"/>
        </w:rPr>
        <w:t>POWER OF ATTORNEY</w:t>
      </w:r>
    </w:p>
    <w:p>
      <w:pPr>
        <w:pStyle w:val="TextBody"/>
        <w:bidi w:val="0"/>
        <w:spacing w:lineRule="auto" w:line="288" w:before="180" w:after="283"/>
        <w:ind w:left="0" w:right="0" w:firstLine="720"/>
        <w:jc w:val="left"/>
        <w:rPr/>
      </w:pPr>
      <w:r>
        <w:rPr>
          <w:rFonts w:ascii="sans-serif" w:hAnsi="sans-serif"/>
          <w:b/>
          <w:color w:val="000000"/>
          <w:sz w:val="20"/>
        </w:rPr>
        <w:t>KNOW ALL PERSONS BY THESE PRESENTS</w:t>
      </w:r>
      <w:r>
        <w:rPr>
          <w:rFonts w:ascii="sans-serif" w:hAnsi="sans-serif"/>
          <w:b w:val="false"/>
          <w:color w:val="000000"/>
          <w:sz w:val="20"/>
        </w:rPr>
        <w:t xml:space="preserve">, that each person whose signature appears below constitutes and appoints </w:t>
      </w:r>
      <w:r>
        <w:rPr>
          <w:rFonts w:ascii="sans-serif" w:hAnsi="sans-serif"/>
          <w:b/>
          <w:color w:val="000000"/>
          <w:sz w:val="20"/>
        </w:rPr>
        <w:t xml:space="preserve">Michael M. Morrissey, Christopher J. Senner and Brenda J. Hefti </w:t>
      </w:r>
      <w:r>
        <w:rPr>
          <w:rFonts w:ascii="sans-serif" w:hAnsi="sans-serif"/>
          <w:b w:val="false"/>
          <w:color w:val="000000"/>
          <w:sz w:val="20"/>
        </w:rPr>
        <w:t>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180" w:after="283"/>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85"/>
        <w:gridCol w:w="933"/>
        <w:gridCol w:w="939"/>
        <w:gridCol w:w="109"/>
        <w:gridCol w:w="109"/>
        <w:gridCol w:w="109"/>
        <w:gridCol w:w="1665"/>
        <w:gridCol w:w="1665"/>
        <w:gridCol w:w="1688"/>
        <w:gridCol w:w="109"/>
        <w:gridCol w:w="109"/>
        <w:gridCol w:w="109"/>
        <w:gridCol w:w="458"/>
        <w:gridCol w:w="458"/>
        <w:gridCol w:w="660"/>
      </w:tblGrid>
      <w:tr>
        <w:trPr/>
        <w:tc>
          <w:tcPr>
            <w:tcW w:w="10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Date</w:t>
            </w:r>
          </w:p>
        </w:tc>
      </w:tr>
      <w:tr>
        <w:trPr/>
        <w:tc>
          <w:tcPr>
            <w:tcW w:w="2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/s/ M</w:t>
            </w:r>
            <w:r>
              <w:rPr>
                <w:rFonts w:ascii="sans-serif" w:hAnsi="sans-serif"/>
                <w:b w:val="false"/>
                <w:color w:val="000000"/>
                <w:sz w:val="16"/>
              </w:rPr>
              <w:t xml:space="preserve">ICHAEL </w:t>
            </w:r>
            <w:r>
              <w:rPr>
                <w:rFonts w:ascii="sans-serif" w:hAnsi="sans-serif"/>
                <w:b w:val="false"/>
                <w:color w:val="000000"/>
                <w:sz w:val="20"/>
              </w:rPr>
              <w:t>M. M</w:t>
            </w:r>
            <w:r>
              <w:rPr>
                <w:rFonts w:ascii="sans-serif" w:hAnsi="sans-serif"/>
                <w:b w:val="false"/>
                <w:color w:val="000000"/>
                <w:sz w:val="16"/>
              </w:rPr>
              <w:t>ORRISSEY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Michael M. Morrissey,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C</w:t>
            </w:r>
            <w:r>
              <w:rPr>
                <w:rFonts w:ascii="sans-serif" w:hAnsi="sans-serif"/>
                <w:b w:val="false"/>
                <w:color w:val="000000"/>
                <w:sz w:val="16"/>
              </w:rPr>
              <w:t>HRISTOPHER</w:t>
            </w:r>
            <w:r>
              <w:rPr>
                <w:color w:val="000000"/>
              </w:rPr>
              <w:t xml:space="preserve"> </w:t>
            </w:r>
            <w:r>
              <w:rPr>
                <w:rFonts w:ascii="sans-serif" w:hAnsi="sans-serif"/>
                <w:b w:val="false"/>
                <w:color w:val="000000"/>
                <w:sz w:val="20"/>
              </w:rPr>
              <w:t>J. S</w:t>
            </w:r>
            <w:r>
              <w:rPr>
                <w:rFonts w:ascii="sans-serif" w:hAnsi="sans-serif"/>
                <w:b w:val="false"/>
                <w:color w:val="000000"/>
                <w:sz w:val="16"/>
              </w:rPr>
              <w:t>ENNER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Executive Vice President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Christopher J. Senner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Chief Financial Officer </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S</w:t>
            </w:r>
            <w:r>
              <w:rPr>
                <w:rFonts w:ascii="sans-serif" w:hAnsi="sans-serif"/>
                <w:b w:val="false"/>
                <w:color w:val="000000"/>
                <w:sz w:val="16"/>
              </w:rPr>
              <w:t>TELIOS</w:t>
            </w:r>
            <w:r>
              <w:rPr>
                <w:color w:val="000000"/>
              </w:rPr>
              <w:t xml:space="preserve"> </w:t>
            </w:r>
            <w:r>
              <w:rPr>
                <w:rFonts w:ascii="sans-serif" w:hAnsi="sans-serif"/>
                <w:b w:val="false"/>
                <w:color w:val="000000"/>
                <w:sz w:val="20"/>
              </w:rPr>
              <w:t>P</w:t>
            </w:r>
            <w:r>
              <w:rPr>
                <w:rFonts w:ascii="sans-serif" w:hAnsi="sans-serif"/>
                <w:b w:val="false"/>
                <w:color w:val="000000"/>
                <w:sz w:val="16"/>
              </w:rPr>
              <w:t>APADOPOULOS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Stelios Papadopoulos,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M</w:t>
            </w:r>
            <w:r>
              <w:rPr>
                <w:rFonts w:ascii="sans-serif" w:hAnsi="sans-serif"/>
                <w:b w:val="false"/>
                <w:color w:val="000000"/>
                <w:sz w:val="16"/>
              </w:rPr>
              <w:t>ARY</w:t>
            </w:r>
            <w:r>
              <w:rPr>
                <w:color w:val="000000"/>
              </w:rPr>
              <w:t xml:space="preserve"> </w:t>
            </w:r>
            <w:r>
              <w:rPr>
                <w:rFonts w:ascii="sans-serif" w:hAnsi="sans-serif"/>
                <w:b w:val="false"/>
                <w:color w:val="000000"/>
                <w:sz w:val="20"/>
              </w:rPr>
              <w:t>C. B</w:t>
            </w:r>
            <w:r>
              <w:rPr>
                <w:rFonts w:ascii="sans-serif" w:hAnsi="sans-serif"/>
                <w:b w:val="false"/>
                <w:color w:val="000000"/>
                <w:sz w:val="16"/>
              </w:rPr>
              <w:t>ECKERLE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Mary C. Beckerle,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S. G</w:t>
            </w:r>
            <w:r>
              <w:rPr>
                <w:rFonts w:ascii="sans-serif" w:hAnsi="sans-serif"/>
                <w:b w:val="false"/>
                <w:color w:val="000000"/>
                <w:sz w:val="16"/>
              </w:rPr>
              <w:t>AIL</w:t>
            </w:r>
            <w:r>
              <w:rPr>
                <w:color w:val="000000"/>
              </w:rPr>
              <w:t xml:space="preserve"> </w:t>
            </w:r>
            <w:r>
              <w:rPr>
                <w:rFonts w:ascii="sans-serif" w:hAnsi="sans-serif"/>
                <w:b w:val="false"/>
                <w:color w:val="000000"/>
                <w:sz w:val="20"/>
              </w:rPr>
              <w:t>E</w:t>
            </w:r>
            <w:r>
              <w:rPr>
                <w:rFonts w:ascii="sans-serif" w:hAnsi="sans-serif"/>
                <w:b w:val="false"/>
                <w:color w:val="000000"/>
                <w:sz w:val="16"/>
              </w:rPr>
              <w:t>CKHARDT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 Gail Eckhardt,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M</w:t>
            </w:r>
            <w:r>
              <w:rPr>
                <w:rFonts w:ascii="sans-serif" w:hAnsi="sans-serif"/>
                <w:b w:val="false"/>
                <w:color w:val="000000"/>
                <w:sz w:val="16"/>
              </w:rPr>
              <w:t xml:space="preserve">ARIA </w:t>
            </w:r>
            <w:r>
              <w:rPr>
                <w:rFonts w:ascii="sans-serif" w:hAnsi="sans-serif"/>
                <w:b w:val="false"/>
                <w:color w:val="000000"/>
                <w:sz w:val="20"/>
              </w:rPr>
              <w:t>C. F</w:t>
            </w:r>
            <w:r>
              <w:rPr>
                <w:rFonts w:ascii="sans-serif" w:hAnsi="sans-serif"/>
                <w:b w:val="false"/>
                <w:color w:val="000000"/>
                <w:sz w:val="16"/>
              </w:rPr>
              <w:t>REIRE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Maria C. Freire,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7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2255"/>
                <wp:effectExtent l="0" t="0" r="0" b="0"/>
                <wp:wrapNone/>
                <wp:docPr id="6" name="Frame5"/>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tbl>
      <w:tblPr>
        <w:tblW w:w="6458" w:type="dxa"/>
        <w:jc w:val="center"/>
        <w:tblInd w:w="0" w:type="dxa"/>
        <w:tblLayout w:type="fixed"/>
        <w:tblCellMar>
          <w:top w:w="28" w:type="dxa"/>
          <w:left w:w="28" w:type="dxa"/>
          <w:bottom w:w="28" w:type="dxa"/>
          <w:right w:w="28" w:type="dxa"/>
        </w:tblCellMar>
      </w:tblPr>
      <w:tblGrid>
        <w:gridCol w:w="1202"/>
        <w:gridCol w:w="1054"/>
        <w:gridCol w:w="1058"/>
        <w:gridCol w:w="109"/>
        <w:gridCol w:w="109"/>
        <w:gridCol w:w="109"/>
        <w:gridCol w:w="294"/>
        <w:gridCol w:w="294"/>
        <w:gridCol w:w="298"/>
        <w:gridCol w:w="109"/>
        <w:gridCol w:w="109"/>
        <w:gridCol w:w="109"/>
        <w:gridCol w:w="468"/>
        <w:gridCol w:w="468"/>
        <w:gridCol w:w="668"/>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Date</w:t>
            </w:r>
          </w:p>
        </w:tc>
      </w:tr>
      <w:tr>
        <w:trPr/>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T</w:t>
            </w:r>
            <w:r>
              <w:rPr>
                <w:rFonts w:ascii="sans-serif" w:hAnsi="sans-serif"/>
                <w:b w:val="false"/>
                <w:color w:val="000000"/>
                <w:sz w:val="16"/>
              </w:rPr>
              <w:t>OMAS</w:t>
            </w:r>
            <w:r>
              <w:rPr>
                <w:color w:val="000000"/>
              </w:rPr>
              <w:t xml:space="preserve"> </w:t>
            </w:r>
            <w:r>
              <w:rPr>
                <w:rFonts w:ascii="sans-serif" w:hAnsi="sans-serif"/>
                <w:b w:val="false"/>
                <w:color w:val="000000"/>
                <w:sz w:val="20"/>
              </w:rPr>
              <w:t>J. H</w:t>
            </w:r>
            <w:r>
              <w:rPr>
                <w:rFonts w:ascii="sans-serif" w:hAnsi="sans-serif"/>
                <w:b w:val="false"/>
                <w:color w:val="000000"/>
                <w:sz w:val="16"/>
              </w:rPr>
              <w:t>EYMAN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Tomas J. Heyman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D</w:t>
            </w:r>
            <w:r>
              <w:rPr>
                <w:rFonts w:ascii="sans-serif" w:hAnsi="sans-serif"/>
                <w:b w:val="false"/>
                <w:color w:val="000000"/>
                <w:sz w:val="16"/>
              </w:rPr>
              <w:t>AVID</w:t>
            </w:r>
            <w:r>
              <w:rPr>
                <w:color w:val="000000"/>
              </w:rPr>
              <w:t xml:space="preserve"> </w:t>
            </w:r>
            <w:r>
              <w:rPr>
                <w:rFonts w:ascii="sans-serif" w:hAnsi="sans-serif"/>
                <w:b w:val="false"/>
                <w:color w:val="000000"/>
                <w:sz w:val="20"/>
              </w:rPr>
              <w:t>E. J</w:t>
            </w:r>
            <w:r>
              <w:rPr>
                <w:rFonts w:ascii="sans-serif" w:hAnsi="sans-serif"/>
                <w:b w:val="false"/>
                <w:color w:val="000000"/>
                <w:sz w:val="16"/>
              </w:rPr>
              <w:t>OHNSON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David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R</w:t>
            </w:r>
            <w:r>
              <w:rPr>
                <w:rFonts w:ascii="sans-serif" w:hAnsi="sans-serif"/>
                <w:b w:val="false"/>
                <w:color w:val="000000"/>
                <w:sz w:val="16"/>
              </w:rPr>
              <w:t>OBERT</w:t>
            </w:r>
            <w:r>
              <w:rPr>
                <w:color w:val="000000"/>
              </w:rPr>
              <w:t xml:space="preserve"> </w:t>
            </w:r>
            <w:r>
              <w:rPr>
                <w:rFonts w:ascii="sans-serif" w:hAnsi="sans-serif"/>
                <w:b w:val="false"/>
                <w:color w:val="000000"/>
                <w:sz w:val="20"/>
              </w:rPr>
              <w:t>L. O</w:t>
            </w:r>
            <w:r>
              <w:rPr>
                <w:rFonts w:ascii="sans-serif" w:hAnsi="sans-serif"/>
                <w:b w:val="false"/>
                <w:color w:val="000000"/>
                <w:sz w:val="16"/>
              </w:rPr>
              <w:t>LIVER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Robert L. Oliver,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G</w:t>
            </w:r>
            <w:r>
              <w:rPr>
                <w:rFonts w:ascii="sans-serif" w:hAnsi="sans-serif"/>
                <w:b w:val="false"/>
                <w:color w:val="000000"/>
                <w:sz w:val="16"/>
              </w:rPr>
              <w:t>EORGE</w:t>
            </w:r>
            <w:r>
              <w:rPr>
                <w:color w:val="000000"/>
              </w:rPr>
              <w:t xml:space="preserve"> </w:t>
            </w:r>
            <w:r>
              <w:rPr>
                <w:rFonts w:ascii="sans-serif" w:hAnsi="sans-serif"/>
                <w:b w:val="false"/>
                <w:color w:val="000000"/>
                <w:sz w:val="20"/>
              </w:rPr>
              <w:t>P</w:t>
            </w:r>
            <w:r>
              <w:rPr>
                <w:rFonts w:ascii="sans-serif" w:hAnsi="sans-serif"/>
                <w:b w:val="false"/>
                <w:color w:val="000000"/>
                <w:sz w:val="16"/>
              </w:rPr>
              <w:t xml:space="preserve">OSTE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George Poste, DVM, Ph.D., FRS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J</w:t>
            </w:r>
            <w:r>
              <w:rPr>
                <w:rFonts w:ascii="sans-serif" w:hAnsi="sans-serif"/>
                <w:b w:val="false"/>
                <w:color w:val="000000"/>
                <w:sz w:val="16"/>
              </w:rPr>
              <w:t>ULIE</w:t>
            </w:r>
            <w:r>
              <w:rPr>
                <w:color w:val="000000"/>
              </w:rPr>
              <w:t xml:space="preserve"> </w:t>
            </w:r>
            <w:r>
              <w:rPr>
                <w:rFonts w:ascii="sans-serif" w:hAnsi="sans-serif"/>
                <w:b w:val="false"/>
                <w:color w:val="000000"/>
                <w:sz w:val="20"/>
              </w:rPr>
              <w:t>A. S</w:t>
            </w:r>
            <w:r>
              <w:rPr>
                <w:rFonts w:ascii="sans-serif" w:hAnsi="sans-serif"/>
                <w:b w:val="false"/>
                <w:color w:val="000000"/>
                <w:sz w:val="16"/>
              </w:rPr>
              <w:t>MITH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Julie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sans-serif" w:hAnsi="sans-serif"/>
                <w:b w:val="false"/>
                <w:color w:val="000000"/>
                <w:sz w:val="20"/>
              </w:rPr>
              <w:t>/s/ J</w:t>
            </w:r>
            <w:r>
              <w:rPr>
                <w:rFonts w:ascii="sans-serif" w:hAnsi="sans-serif"/>
                <w:b w:val="false"/>
                <w:color w:val="000000"/>
                <w:sz w:val="16"/>
              </w:rPr>
              <w:t>ACK</w:t>
            </w:r>
            <w:r>
              <w:rPr>
                <w:color w:val="000000"/>
              </w:rPr>
              <w:t xml:space="preserve"> </w:t>
            </w:r>
            <w:r>
              <w:rPr>
                <w:rFonts w:ascii="sans-serif" w:hAnsi="sans-serif"/>
                <w:b w:val="false"/>
                <w:color w:val="000000"/>
                <w:sz w:val="20"/>
              </w:rPr>
              <w:t>L. W</w:t>
            </w:r>
            <w:r>
              <w:rPr>
                <w:rFonts w:ascii="sans-serif" w:hAnsi="sans-serif"/>
                <w:b w:val="false"/>
                <w:color w:val="000000"/>
                <w:sz w:val="16"/>
              </w:rPr>
              <w:t>YSZOMIERSKI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August 5, 2026</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Jack L. Wyszomierski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720"/>
        <w:jc w:val="left"/>
        <w:rPr/>
      </w:pPr>
      <w:r>
        <w:rPr/>
      </w:r>
    </w:p>
    <w:p>
      <w:pPr>
        <w:pStyle w:val="TextBody"/>
        <w:bidi w:val="0"/>
        <w:spacing w:before="0" w:after="0"/>
        <w:jc w:val="center"/>
        <w:rPr/>
      </w:pPr>
      <w:bookmarkStart w:id="0" w:name="exel-2026formsx8ex5legal.htm"/>
      <w:bookmarkStart w:id="1" w:name="ksexel2026formsx8ex5legal"/>
      <w:bookmarkEnd w:id="0"/>
      <w:bookmarkEnd w:id="1"/>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2255"/>
                <wp:effectExtent l="0" t="0" r="0" b="0"/>
                <wp:wrapNone/>
                <wp:docPr id="8" name="Frame6"/>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jc w:val="center"/>
        <w:rPr>
          <w:color w:val="FFFFFF"/>
          <w:sz w:val="2"/>
        </w:rPr>
      </w:pPr>
      <w:r>
        <w:rPr>
          <w:color w:val="FFFFFF"/>
          <w:sz w:val="2"/>
        </w:rPr>
        <w:t xml:space="preserve">Exhibit 5.1 FIRM/AFFILIATE OFFICES ----------- BOSTON CHICAGO HOUSTON LOS ANGELES NEW YORK PALO ALTO WILMINGTON ----------- ABU DHABI BEIJING BRUSSELS FRANKFURT HONG KONG LONDON MUNICH PARIS SÃO PAULO SEOUL SINGAPORE TOKYO TORONTO SKADDEN, ARPS, SLATE, MEAGHER &amp; FLOM LLP 1440 NEW YORK AVENUE, N.W. WASHINGTON, D.C. 20005-2111 ________ TEL: (202) 371-7000 FAX: (202) 393-5760 www.skadden.com August 5, 2026 Exelixis, Inc. 1851 Harbor Bay Parkway Alameda, California 94502 Re: Exelixis, Inc. Registration Statement on Form S-8 Ladies and Gentlemen: We have acted as special United States counsel to Exelixis, Inc., a Delaware corporation (the “Company”), in connection with the registration statement on Form S-8 (together with the exhibits thereto, the “Registration Statement”) to be filed on the date hereof by the Company with the Securities and Exchange Commission (the “Commission”) under the Securities Act of 1933 (the “Securities Act”), relating to the registration of 2,000,000 shares (the “Shares”) of the Company’s common stock, par value $0.001 per share (the “Common Stock”), available for future issuance under the Exelixis, Inc. Amended and Restated 2017 Equity Incentive Plan (the “Plan”). This opinion letter is being furnished in accordance with the requirements of Item 601(b)(5) of Regulation S-K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Exelixis, Inc. August 5, 2026 Page 2 In rendering the opinion stated herein, we have examined the following: (a) the Registration Statement in the form to be filed with the Commission on the date hereof; (b) an executed copy of a certificate of Brenda J. Hefti, Senior Vice President and General Counsel of the Company, dated the date hereof (the “Officer’s Certificate”); (c) a copy of the Plan, certified pursuant to the Officer’s Certificate; (d) a copy of the Company’s Restated Certificate of Incorporation (the “Certificate of Incorporation”), certified by the Secretary of State of the State of Delaware as of the date hereof, and certified pursuant to the Officer’s Certificate as being in effect on the date of the resolutions referred to below and as of the date hereof; (e) a copy of the Company’s Amended and Restated Bylaws (the “Bylaws”), certified pursuant to the Officer’s Certificate as being in effect on the date of the resolutions referred to below and as of the date hereof; and (f) copies of certain resolutions of the Company’s Board of Directors relating to the approval of the Plan and certain related matters, certified pursuant to the Officer’s Certificate.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Company’s Certificate of Incorporation and the Officer’s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Exelixis, Inc. August 5, 2026 Page 3 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Company’s issuance of the Shares does not and will not (a) violate any statute to which the Company or such issuance is subject (except that we do not make this assumption with respect to the General Corporation Law of the State of Delaware (the “DGCL”)), or (b) constitute a violation of, or a breach under, or require the consent or approval of any other person under, any agreement or instrument binding on the Company (except that we do not make this assumption with respect to the Certificate of Incorporation and the Bylaws although we have assumed compliance with any covenant, restriction or provision with respect to financial ratios or tests or any aspect of the financial condition or results of operations of the Company contained in such instruments) and that the Company will continue to have sufficient authorized shares of Common Stock, and (iv) the Company’s authorized capital stock is as set forth in the Certificate of Incorporation and we have relied solely on the certified copy thereof issued by the Secretary of State of the State of Delaware and have not made any other inquiries or investigations. We do not express any opinion with respect to the laws of any jurisdiction other than the DGCL. 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 We hereby consent to the filing of this opinion letter with the Commission as an exhibit to the Registration Statement. In giving this consent, we do not thereby admit that we are included in the category of persons whose consent is required under Section 7 of the Securities Act or the general Rules and Regulations under the Securities Act. This opinion letter is expressed as of the date hereof unless otherwise expressly stated, and we disclaim any undertaking to advise you of any subsequent changes in the facts stated or assumed herein or of any subsequent changes in applicable laws. Very truly yours, /s/ Skadden, Arps, Slate, Meagher &amp; Flom LLP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right"/>
        <w:rPr/>
      </w:pPr>
      <w:r>
        <w:rPr>
          <w:rFonts w:ascii="sans-serif" w:hAnsi="sans-serif"/>
          <w:b/>
          <w:color w:val="000000"/>
          <w:sz w:val="20"/>
        </w:rPr>
        <w:t>Exhibit 23.1</w:t>
      </w:r>
      <w:r>
        <w:rPr>
          <w:color w:val="000000"/>
        </w:rPr>
        <w:t xml:space="preserve"> </w:t>
      </w:r>
      <w:r>
        <w:rPr>
          <w:rFonts w:ascii="sans-serif" w:hAnsi="sans-serif"/>
          <w:b w:val="false"/>
          <w:color w:val="000000"/>
          <w:sz w:val="20"/>
        </w:rPr>
        <w:br/>
        <w:t> </w:t>
      </w:r>
      <w:r>
        <w:rPr>
          <w:color w:val="000000"/>
        </w:rPr>
        <w:t xml:space="preserve"> </w:t>
      </w:r>
    </w:p>
    <w:p>
      <w:pPr>
        <w:pStyle w:val="TextBody"/>
        <w:bidi w:val="0"/>
        <w:spacing w:lineRule="auto" w:line="288" w:before="0" w:after="0"/>
        <w:jc w:val="center"/>
        <w:rPr/>
      </w:pPr>
      <w:r>
        <w:rPr>
          <w:rFonts w:ascii="sans-serif" w:hAnsi="sans-serif"/>
          <w:b w:val="false"/>
          <w:color w:val="000000"/>
          <w:sz w:val="20"/>
        </w:rPr>
        <w:br/>
      </w:r>
      <w:r>
        <w:rPr>
          <w:rFonts w:ascii="sans-serif" w:hAnsi="sans-serif"/>
          <w:b/>
          <w:color w:val="000000"/>
          <w:sz w:val="20"/>
        </w:rPr>
        <w:t>CONSENT OF INDEPENDENT REGISTERED PUBLIC ACCOUNTING FIRM</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We consent to the incorporation by reference in the Registration Statement (Form S-8) pertaining to the Amended and Restated 2017 Equity Incentive Plan of Exelixis, Inc. of our reports dated February 10, 2026, with respect to the consolidated financial statements of Exelixis Inc. and the effectiveness of internal control over financial reporting of Exelixis Inc. included in its Annual Report (Form 10-K) for the year ended January 2, 2026, filed with the Securities and Exchange Commission.</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000000"/>
          <w:sz w:val="20"/>
        </w:rPr>
      </w:pPr>
      <w:r>
        <w:rPr>
          <w:rFonts w:ascii="sans-serif" w:hAnsi="sans-serif"/>
          <w:b w:val="false"/>
          <w:color w:val="000000"/>
          <w:sz w:val="20"/>
        </w:rPr>
        <w:t xml:space="preserve">San Mateo, California </w:t>
      </w:r>
    </w:p>
    <w:p>
      <w:pPr>
        <w:pStyle w:val="TextBody"/>
        <w:bidi w:val="0"/>
        <w:spacing w:lineRule="auto" w:line="288" w:before="180" w:after="240"/>
        <w:jc w:val="left"/>
        <w:rPr>
          <w:rFonts w:ascii="sans-serif" w:hAnsi="sans-serif"/>
          <w:b w:val="false"/>
          <w:color w:val="000000"/>
          <w:sz w:val="20"/>
        </w:rPr>
      </w:pPr>
      <w:r>
        <w:rPr>
          <w:rFonts w:ascii="sans-serif" w:hAnsi="sans-serif"/>
          <w:b w:val="false"/>
          <w:color w:val="000000"/>
          <w:sz w:val="20"/>
        </w:rPr>
        <w:t xml:space="preserve">August 5, 2026 </w:t>
      </w:r>
    </w:p>
    <w:p>
      <w:pPr>
        <w:pStyle w:val="TextBody"/>
        <w:bidi w:val="0"/>
        <w:spacing w:before="18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pPr>
      <w:r>
        <w:rPr>
          <w:rFonts w:ascii="sans-serif" w:hAnsi="sans-serif"/>
          <w:b/>
          <w:color w:val="000000"/>
          <w:sz w:val="24"/>
        </w:rPr>
        <w:t>Exhibit 107</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CALCULATION OF REGISTRATION FEE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
        <w:gridCol w:w="301"/>
        <w:gridCol w:w="302"/>
        <w:gridCol w:w="494"/>
        <w:gridCol w:w="494"/>
        <w:gridCol w:w="495"/>
        <w:gridCol w:w="419"/>
        <w:gridCol w:w="419"/>
        <w:gridCol w:w="420"/>
        <w:gridCol w:w="404"/>
        <w:gridCol w:w="378"/>
        <w:gridCol w:w="379"/>
        <w:gridCol w:w="367"/>
        <w:gridCol w:w="367"/>
        <w:gridCol w:w="369"/>
        <w:gridCol w:w="800"/>
        <w:gridCol w:w="430"/>
        <w:gridCol w:w="432"/>
        <w:gridCol w:w="414"/>
        <w:gridCol w:w="414"/>
        <w:gridCol w:w="418"/>
        <w:gridCol w:w="391"/>
        <w:gridCol w:w="391"/>
        <w:gridCol w:w="564"/>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Security Type</w:t>
            </w:r>
          </w:p>
        </w:tc>
        <w:tc>
          <w:tcPr>
            <w:tcW w:w="148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Title of Securities </w:t>
            </w:r>
          </w:p>
          <w:p>
            <w:pPr>
              <w:pStyle w:val="TableContents"/>
              <w:bidi w:val="0"/>
              <w:spacing w:lineRule="auto" w:line="240" w:before="0" w:after="90"/>
              <w:jc w:val="center"/>
              <w:rPr>
                <w:rFonts w:ascii="sans-serif" w:hAnsi="sans-serif"/>
                <w:b/>
                <w:color w:val="000000"/>
                <w:sz w:val="16"/>
              </w:rPr>
            </w:pPr>
            <w:r>
              <w:rPr>
                <w:rFonts w:ascii="sans-serif" w:hAnsi="sans-serif"/>
                <w:b/>
                <w:color w:val="000000"/>
                <w:sz w:val="16"/>
              </w:rPr>
              <w:t>to be Registered</w:t>
            </w:r>
          </w:p>
        </w:tc>
        <w:tc>
          <w:tcPr>
            <w:tcW w:w="1258"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Fee Calculation Rule</w:t>
            </w:r>
          </w:p>
        </w:tc>
        <w:tc>
          <w:tcPr>
            <w:tcW w:w="1161"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Amount Being</w:t>
            </w:r>
          </w:p>
          <w:p>
            <w:pPr>
              <w:pStyle w:val="TableContents"/>
              <w:bidi w:val="0"/>
              <w:spacing w:lineRule="auto" w:line="240" w:before="0" w:after="90"/>
              <w:jc w:val="center"/>
              <w:rPr/>
            </w:pPr>
            <w:r>
              <w:rPr>
                <w:rFonts w:ascii="sans-serif" w:hAnsi="sans-serif"/>
                <w:b/>
                <w:color w:val="000000"/>
                <w:sz w:val="16"/>
              </w:rPr>
              <w:t>Registered</w:t>
            </w:r>
            <w:r>
              <w:rPr>
                <w:color w:val="000000"/>
              </w:rPr>
              <w:t xml:space="preserve"> </w:t>
            </w:r>
            <w:r>
              <w:rPr>
                <w:rFonts w:ascii="sans-serif" w:hAnsi="sans-serif"/>
                <w:b/>
                <w:color w:val="000000"/>
                <w:sz w:val="10"/>
              </w:rPr>
              <w:t>(1)</w:t>
            </w:r>
          </w:p>
        </w:tc>
        <w:tc>
          <w:tcPr>
            <w:tcW w:w="110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90" w:after="283"/>
              <w:jc w:val="center"/>
              <w:rPr>
                <w:rFonts w:ascii="sans-serif" w:hAnsi="sans-serif"/>
                <w:b/>
                <w:color w:val="000000"/>
                <w:sz w:val="16"/>
              </w:rPr>
            </w:pPr>
            <w:r>
              <w:rPr>
                <w:rFonts w:ascii="sans-serif" w:hAnsi="sans-serif"/>
                <w:b/>
                <w:color w:val="000000"/>
                <w:sz w:val="16"/>
              </w:rPr>
              <w:t>Proposed Maximum</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Offering</w:t>
            </w:r>
          </w:p>
          <w:p>
            <w:pPr>
              <w:pStyle w:val="TableContents"/>
              <w:bidi w:val="0"/>
              <w:spacing w:lineRule="auto" w:line="240" w:before="0" w:after="90"/>
              <w:jc w:val="center"/>
              <w:rPr>
                <w:rFonts w:ascii="sans-serif" w:hAnsi="sans-serif"/>
                <w:b/>
                <w:color w:val="000000"/>
                <w:sz w:val="16"/>
              </w:rPr>
            </w:pPr>
            <w:r>
              <w:rPr>
                <w:rFonts w:ascii="sans-serif" w:hAnsi="sans-serif"/>
                <w:b/>
                <w:color w:val="000000"/>
                <w:sz w:val="16"/>
              </w:rPr>
              <w:t>Price per Unit</w:t>
            </w:r>
          </w:p>
        </w:tc>
        <w:tc>
          <w:tcPr>
            <w:tcW w:w="1662"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90" w:after="283"/>
              <w:jc w:val="center"/>
              <w:rPr>
                <w:rFonts w:ascii="sans-serif" w:hAnsi="sans-serif"/>
                <w:b/>
                <w:color w:val="000000"/>
                <w:sz w:val="16"/>
              </w:rPr>
            </w:pPr>
            <w:r>
              <w:rPr>
                <w:rFonts w:ascii="sans-serif" w:hAnsi="sans-serif"/>
                <w:b/>
                <w:color w:val="000000"/>
                <w:sz w:val="16"/>
              </w:rPr>
              <w:t>Proposed Maximum Aggregate</w:t>
            </w:r>
          </w:p>
          <w:p>
            <w:pPr>
              <w:pStyle w:val="TableContents"/>
              <w:bidi w:val="0"/>
              <w:spacing w:lineRule="auto" w:line="240" w:before="0" w:after="90"/>
              <w:jc w:val="center"/>
              <w:rPr>
                <w:rFonts w:ascii="sans-serif" w:hAnsi="sans-serif"/>
                <w:b/>
                <w:color w:val="000000"/>
                <w:sz w:val="16"/>
              </w:rPr>
            </w:pPr>
            <w:r>
              <w:rPr>
                <w:rFonts w:ascii="sans-serif" w:hAnsi="sans-serif"/>
                <w:b/>
                <w:color w:val="000000"/>
                <w:sz w:val="16"/>
              </w:rPr>
              <w:t>Offering Price</w:t>
            </w:r>
          </w:p>
        </w:tc>
        <w:tc>
          <w:tcPr>
            <w:tcW w:w="1246"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Fee Rate</w:t>
            </w:r>
          </w:p>
        </w:tc>
        <w:tc>
          <w:tcPr>
            <w:tcW w:w="1346" w:type="dxa"/>
            <w:gridSpan w:val="3"/>
            <w:tcBorders>
              <w:top w:val="doub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Amount of</w:t>
            </w:r>
          </w:p>
          <w:p>
            <w:pPr>
              <w:pStyle w:val="TableContents"/>
              <w:bidi w:val="0"/>
              <w:spacing w:lineRule="auto" w:line="240" w:before="0" w:after="90"/>
              <w:jc w:val="center"/>
              <w:rPr>
                <w:rFonts w:ascii="sans-serif" w:hAnsi="sans-serif"/>
                <w:b/>
                <w:color w:val="000000"/>
                <w:sz w:val="16"/>
              </w:rPr>
            </w:pPr>
            <w:r>
              <w:rPr>
                <w:rFonts w:ascii="sans-serif" w:hAnsi="sans-serif"/>
                <w:b/>
                <w:color w:val="000000"/>
                <w:sz w:val="16"/>
              </w:rPr>
              <w:t>Registration Fee</w:t>
            </w:r>
          </w:p>
        </w:tc>
      </w:tr>
      <w:tr>
        <w:trPr/>
        <w:tc>
          <w:tcPr>
            <w:tcW w:w="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Equity</w:t>
            </w:r>
          </w:p>
        </w:tc>
        <w:tc>
          <w:tcPr>
            <w:tcW w:w="14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$0.001 par value per share</w:t>
            </w:r>
          </w:p>
        </w:tc>
        <w:tc>
          <w:tcPr>
            <w:tcW w:w="12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Rule 457(c) and (h)</w:t>
            </w:r>
          </w:p>
        </w:tc>
        <w:tc>
          <w:tcPr>
            <w:tcW w:w="11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0"/>
              </w:rPr>
              <w:t xml:space="preserve">2,000,000 </w:t>
            </w:r>
          </w:p>
        </w:tc>
        <w:tc>
          <w:tcPr>
            <w:tcW w:w="11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90"/>
              <w:jc w:val="center"/>
              <w:rPr/>
            </w:pPr>
            <w:r>
              <w:rPr>
                <w:rFonts w:ascii="sans-serif" w:hAnsi="sans-serif"/>
                <w:b w:val="false"/>
                <w:color w:val="000000"/>
                <w:sz w:val="20"/>
              </w:rPr>
              <w:t>$55.360</w:t>
            </w:r>
            <w:r>
              <w:rPr>
                <w:rFonts w:ascii="sans-serif" w:hAnsi="sans-serif"/>
                <w:b w:val="false"/>
                <w:color w:val="000000"/>
                <w:sz w:val="13"/>
              </w:rPr>
              <w:t>(2)</w:t>
            </w:r>
          </w:p>
        </w:tc>
        <w:tc>
          <w:tcPr>
            <w:tcW w:w="16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90"/>
              <w:jc w:val="center"/>
              <w:rPr/>
            </w:pPr>
            <w:r>
              <w:rPr>
                <w:rFonts w:ascii="sans-serif" w:hAnsi="sans-serif"/>
                <w:b w:val="false"/>
                <w:color w:val="000000"/>
                <w:sz w:val="20"/>
              </w:rPr>
              <w:t>$110,720,000</w:t>
            </w:r>
            <w:r>
              <w:rPr>
                <w:rFonts w:ascii="sans-serif" w:hAnsi="sans-serif"/>
                <w:b w:val="false"/>
                <w:color w:val="000000"/>
                <w:sz w:val="13"/>
              </w:rPr>
              <w:t>(2)</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0.00013810</w:t>
            </w:r>
          </w:p>
        </w:tc>
        <w:tc>
          <w:tcPr>
            <w:tcW w:w="13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$15,290</w:t>
            </w:r>
          </w:p>
        </w:tc>
      </w:tr>
      <w:tr>
        <w:trPr/>
        <w:tc>
          <w:tcPr>
            <w:tcW w:w="5951" w:type="dxa"/>
            <w:gridSpan w:val="15"/>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Offering Amounts</w:t>
            </w:r>
          </w:p>
        </w:tc>
        <w:tc>
          <w:tcPr>
            <w:tcW w:w="16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$110,720,000</w:t>
            </w:r>
          </w:p>
        </w:tc>
        <w:tc>
          <w:tcPr>
            <w:tcW w:w="12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$15,290</w:t>
            </w:r>
          </w:p>
        </w:tc>
      </w:tr>
      <w:tr>
        <w:trPr/>
        <w:tc>
          <w:tcPr>
            <w:tcW w:w="5951"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Fees Previously Paid</w:t>
            </w:r>
          </w:p>
        </w:tc>
        <w:tc>
          <w:tcPr>
            <w:tcW w:w="16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w:t>
            </w:r>
          </w:p>
        </w:tc>
      </w:tr>
      <w:tr>
        <w:trPr/>
        <w:tc>
          <w:tcPr>
            <w:tcW w:w="5951"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Fee Offsets</w:t>
            </w:r>
          </w:p>
        </w:tc>
        <w:tc>
          <w:tcPr>
            <w:tcW w:w="16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w:t>
            </w:r>
          </w:p>
        </w:tc>
      </w:tr>
      <w:tr>
        <w:trPr/>
        <w:tc>
          <w:tcPr>
            <w:tcW w:w="5951"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Fee Due</w:t>
            </w:r>
          </w:p>
        </w:tc>
        <w:tc>
          <w:tcPr>
            <w:tcW w:w="166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$15,290</w:t>
            </w:r>
          </w:p>
        </w:tc>
      </w:tr>
    </w:tbl>
    <w:p>
      <w:pPr>
        <w:pStyle w:val="TextBody"/>
        <w:bidi w:val="0"/>
        <w:spacing w:lineRule="auto" w:line="288" w:before="100" w:after="283"/>
        <w:ind w:left="0" w:right="0" w:hanging="360"/>
        <w:jc w:val="left"/>
        <w:rPr>
          <w:rFonts w:ascii="sans-serif" w:hAnsi="sans-serif"/>
          <w:b w:val="false"/>
          <w:color w:val="000000"/>
          <w:sz w:val="20"/>
        </w:rPr>
      </w:pPr>
      <w:r>
        <w:rPr>
          <w:rFonts w:ascii="sans-serif" w:hAnsi="sans-serif"/>
          <w:b w:val="false"/>
          <w:color w:val="000000"/>
          <w:sz w:val="20"/>
        </w:rPr>
        <w:t xml:space="preserve">(1)    This Registration Statement covers the offer and sale of 2,000,000 shares of Common Stock of Exelixis, Inc. (the “Registrant” or the “Company”) under the Exelixis, Inc. Amended and Restated 2017 Equity Incentive Plan (the “Plan”). Pursuant to Rule 416(a) of the Securities Act of 1933, as amended (the “Securities Act”), this Registration Statement shall also cover any additional shares of the Registrant’s Common Stock that become issuable under the Plan by reason of any stock dividend, stock split, recapitalization or other similar transaction effected without receipt of consideration that increases the number of outstanding shares of the Registrant’s Common Stock. </w:t>
      </w:r>
    </w:p>
    <w:p>
      <w:pPr>
        <w:pStyle w:val="TextBody"/>
        <w:bidi w:val="0"/>
        <w:spacing w:lineRule="auto" w:line="288" w:before="60" w:after="283"/>
        <w:ind w:left="0" w:right="0" w:hanging="360"/>
        <w:jc w:val="left"/>
        <w:rPr>
          <w:rFonts w:ascii="sans-serif" w:hAnsi="sans-serif"/>
          <w:b w:val="false"/>
          <w:color w:val="000000"/>
          <w:sz w:val="20"/>
        </w:rPr>
      </w:pPr>
      <w:r>
        <w:rPr>
          <w:rFonts w:ascii="sans-serif" w:hAnsi="sans-serif"/>
          <w:b w:val="false"/>
          <w:color w:val="000000"/>
          <w:sz w:val="20"/>
        </w:rPr>
        <w:t>(2)    Estimated solely for the purpose of calculating the amount of the registration fee pursuant to Rule 457(h) under the Securities Act. The offering price per share and aggregate offering price are based upon the average of the high and low prices of the Registrant’s Common Stock on July 30, 2026, as reported on the Nasdaq Global Select Market.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939767/000093976726000021/exel-20260102.htm" TargetMode="External"/><Relationship Id="rId4" Type="http://schemas.openxmlformats.org/officeDocument/2006/relationships/hyperlink" Target="https://www.sec.gov/ix?doc=/Archives/edgar/data/939767/000093976726000059/exel-20260403.htm" TargetMode="External"/><Relationship Id="rId5" Type="http://schemas.openxmlformats.org/officeDocument/2006/relationships/hyperlink" Target="https://www.sec.gov/Archives/edgar/data/939767/000093976726000098/exel-20260703.htm" TargetMode="External"/><Relationship Id="rId6" Type="http://schemas.openxmlformats.org/officeDocument/2006/relationships/hyperlink" Target="https://www.sec.gov/Archives/edgar/data/939767/000093976726000098/exel-20260703.htm" TargetMode="External"/><Relationship Id="rId7" Type="http://schemas.openxmlformats.org/officeDocument/2006/relationships/hyperlink" Target="https://www.sec.gov/ix?doc=/Archives/edgar/data/939767/000093976726000058/exel-20260505.htm" TargetMode="External"/><Relationship Id="rId8" Type="http://schemas.openxmlformats.org/officeDocument/2006/relationships/hyperlink" Target="https://www.sec.gov/ix?doc=/Archives/edgar/data/939767/000093976726000058/exel-20260505.htm" TargetMode="External"/><Relationship Id="rId9" Type="http://schemas.openxmlformats.org/officeDocument/2006/relationships/hyperlink" Target="https://www.sec.gov/ix?doc=/Archives/edgar/data/939767/000093976726000058/exel-20260505.htm" TargetMode="External"/><Relationship Id="rId10" Type="http://schemas.openxmlformats.org/officeDocument/2006/relationships/hyperlink" Target="https://www.sec.gov/ix?doc=/Archives/edgar/data/939767/000093976726000058/exel-20260505.htm" TargetMode="External"/><Relationship Id="rId11" Type="http://schemas.openxmlformats.org/officeDocument/2006/relationships/hyperlink" Target="https://www.sec.gov/ix?doc=/Archives/edgar/data/939767/000093976726000058/exel-20260505.htm" TargetMode="External"/><Relationship Id="rId12" Type="http://schemas.openxmlformats.org/officeDocument/2006/relationships/hyperlink" Target="https://www.sec.gov/ix?doc=/Archives/edgar/data/939767/000093976726000074/exel-20260526.htm" TargetMode="External"/><Relationship Id="rId13" Type="http://schemas.openxmlformats.org/officeDocument/2006/relationships/hyperlink" Target="https://www.sec.gov/Archives/edgar/data/939767/000093976726000096/exel-20260805.htm" TargetMode="External"/><Relationship Id="rId14" Type="http://schemas.openxmlformats.org/officeDocument/2006/relationships/hyperlink" Target="https://www.sec.gov/Archives/edgar/data/939767/000093976726000096/exel-20260805.htm" TargetMode="External"/><Relationship Id="rId15" Type="http://schemas.openxmlformats.org/officeDocument/2006/relationships/hyperlink" Target="https://www.sec.gov/Archives/edgar/data/939767/000101287000001937/0001012870-00-001937.txt" TargetMode="External"/><Relationship Id="rId16" Type="http://schemas.openxmlformats.org/officeDocument/2006/relationships/hyperlink" Target="https://www.sec.gov/Archives/edgar/data/939767/000093976722000026/exel20211231exhibit42.htm" TargetMode="External"/><Relationship Id="rId17" Type="http://schemas.openxmlformats.org/officeDocument/2006/relationships/hyperlink" Target="https://www.sec.gov/Archives/edgar/data/0000939767/000093976721000076/exel20210526ex31restatedce.htm" TargetMode="External"/><Relationship Id="rId18" Type="http://schemas.openxmlformats.org/officeDocument/2006/relationships/hyperlink" Target="https://www.sec.gov/Archives/edgar/data/939767/000093976724000058/exel20240331exhibit32.htm" TargetMode="External"/><Relationship Id="rId19" Type="http://schemas.openxmlformats.org/officeDocument/2006/relationships/hyperlink" Target="https://www.sec.gov/Archives/edgar/data/939767/000093976723000127/exhibit31amendedandrestate.htm" TargetMode="External"/><Relationship Id="rId20" Type="http://schemas.openxmlformats.org/officeDocument/2006/relationships/hyperlink" Target="https://www.sec.gov/Archives/edgar/data/939767/000093976726000074/exel-amendedrestated2017eq.htm" TargetMode="Externa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2962</Words>
  <Characters>15778</Characters>
  <CharactersWithSpaces>18579</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exel-2026formsx8ex5legal</dc:title>
</cp:coreProperties>
</file>