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UNITED STATES</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before="180" w:after="283"/>
        <w:jc w:val="center"/>
        <w:rPr/>
      </w:pPr>
      <w:r>
        <w:rPr/>
      </w:r>
    </w:p>
    <w:tbl>
      <w:tblPr>
        <w:tblW w:w="1966" w:type="dxa"/>
        <w:jc w:val="center"/>
        <w:tblInd w:w="0" w:type="dxa"/>
        <w:tblLayout w:type="fixed"/>
        <w:tblCellMar>
          <w:top w:w="28" w:type="dxa"/>
          <w:left w:w="28" w:type="dxa"/>
          <w:bottom w:w="28" w:type="dxa"/>
          <w:right w:w="28" w:type="dxa"/>
        </w:tblCellMar>
      </w:tblPr>
      <w:tblGrid>
        <w:gridCol w:w="386"/>
        <w:gridCol w:w="339"/>
        <w:gridCol w:w="341"/>
        <w:gridCol w:w="263"/>
        <w:gridCol w:w="263"/>
        <w:gridCol w:w="37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rFonts w:ascii="sans-serif" w:hAnsi="sans-serif"/>
                <w:b/>
                <w:color w:val="000000"/>
                <w:sz w:val="28"/>
              </w:rPr>
            </w:pPr>
            <w:r>
              <w:rPr>
                <w:rFonts w:ascii="sans-serif" w:hAnsi="sans-serif"/>
                <w:b/>
                <w:color w:val="000000"/>
                <w:sz w:val="28"/>
              </w:rPr>
              <w:t>FORM</w:t>
            </w:r>
          </w:p>
        </w:tc>
        <w:tc>
          <w:tcPr>
            <w:tcW w:w="9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sans-serif" w:hAnsi="sans-serif"/>
                <w:b/>
                <w:color w:val="000000"/>
                <w:sz w:val="28"/>
              </w:rPr>
            </w:pPr>
            <w:r>
              <w:rPr>
                <w:rFonts w:ascii="sans-serif" w:hAnsi="sans-serif"/>
                <w:b/>
                <w:color w:val="000000"/>
                <w:sz w:val="28"/>
              </w:rPr>
              <w:t>10-Q</w:t>
            </w:r>
          </w:p>
        </w:tc>
      </w:tr>
    </w:tbl>
    <w:p>
      <w:pPr>
        <w:pStyle w:val="TextBody"/>
        <w:bidi w:val="0"/>
        <w:spacing w:before="180" w:after="283"/>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sans-serif" w:hAnsi="sans-serif"/>
          <w:b w:val="false"/>
          <w:color w:val="000000"/>
          <w:sz w:val="17"/>
        </w:rPr>
      </w:pPr>
      <w:r>
        <w:rPr>
          <w:rFonts w:ascii="sans-serif" w:hAnsi="sans-serif"/>
          <w:b w:val="false"/>
          <w:color w:val="000000"/>
          <w:sz w:val="17"/>
        </w:rPr>
        <w:t>For the quarterly period ended July 3, 2026</w:t>
      </w:r>
    </w:p>
    <w:p>
      <w:pPr>
        <w:pStyle w:val="TextBody"/>
        <w:bidi w:val="0"/>
        <w:spacing w:lineRule="auto" w:line="288" w:before="0" w:after="0"/>
        <w:jc w:val="center"/>
        <w:rPr>
          <w:rFonts w:ascii="sans-serif" w:hAnsi="sans-serif"/>
          <w:b w:val="false"/>
          <w:color w:val="000000"/>
          <w:sz w:val="17"/>
        </w:rPr>
      </w:pPr>
      <w:r>
        <w:rPr>
          <w:rFonts w:ascii="sans-serif" w:hAnsi="sans-serif"/>
          <w:b w:val="false"/>
          <w:color w:val="000000"/>
          <w:sz w:val="17"/>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TRANSITION REPORT PURSUANT TO SECTION 13 OR 15(d) OF THE SECURITIES EXCHANGE ACT OF 1934</w:t>
            </w:r>
          </w:p>
        </w:tc>
      </w:tr>
    </w:tbl>
    <w:p>
      <w:pPr>
        <w:pStyle w:val="TextBody"/>
        <w:bidi w:val="0"/>
        <w:spacing w:lineRule="auto" w:line="288" w:before="0" w:after="0"/>
        <w:jc w:val="center"/>
        <w:rPr>
          <w:rFonts w:ascii="sans-serif" w:hAnsi="sans-serif"/>
          <w:b w:val="false"/>
          <w:color w:val="000000"/>
          <w:sz w:val="17"/>
        </w:rPr>
      </w:pPr>
      <w:r>
        <w:rPr>
          <w:rFonts w:ascii="sans-serif" w:hAnsi="sans-serif"/>
          <w:b w:val="false"/>
          <w:color w:val="000000"/>
          <w:sz w:val="17"/>
        </w:rPr>
        <w:t xml:space="preserve">For the transition period from to </w:t>
      </w:r>
    </w:p>
    <w:p>
      <w:pPr>
        <w:pStyle w:val="TextBody"/>
        <w:bidi w:val="0"/>
        <w:spacing w:lineRule="auto" w:line="288" w:before="180" w:after="283"/>
        <w:jc w:val="center"/>
        <w:rPr/>
      </w:pPr>
      <w:r>
        <w:rPr>
          <w:rFonts w:ascii="sans-serif" w:hAnsi="sans-serif"/>
          <w:b/>
          <w:color w:val="000000"/>
          <w:sz w:val="18"/>
        </w:rPr>
        <w:t xml:space="preserve">Commission File Number: </w:t>
      </w:r>
      <w:r>
        <w:rPr>
          <w:rFonts w:ascii="sans-serif" w:hAnsi="sans-serif"/>
          <w:b w:val="false"/>
          <w:color w:val="000000"/>
          <w:sz w:val="18"/>
        </w:rPr>
        <w:t>000-30235</w:t>
      </w:r>
    </w:p>
    <w:tbl>
      <w:tblPr>
        <w:tblW w:w="4485" w:type="dxa"/>
        <w:jc w:val="center"/>
        <w:tblInd w:w="0" w:type="dxa"/>
        <w:tblLayout w:type="fixed"/>
        <w:tblCellMar>
          <w:top w:w="28" w:type="dxa"/>
          <w:left w:w="28" w:type="dxa"/>
          <w:bottom w:w="28" w:type="dxa"/>
          <w:right w:w="28" w:type="dxa"/>
        </w:tblCellMar>
      </w:tblPr>
      <w:tblGrid>
        <w:gridCol w:w="1436"/>
        <w:gridCol w:w="1262"/>
        <w:gridCol w:w="1787"/>
      </w:tblGrid>
      <w:tr>
        <w:trPr/>
        <w:tc>
          <w:tcPr>
            <w:tcW w:w="143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8" w:space="0" w:color="000000"/>
            </w:tcBorders>
            <w:tcMar>
              <w:left w:w="0" w:type="dxa"/>
              <w:bottom w:w="0" w:type="dxa"/>
              <w:right w:w="0" w:type="dxa"/>
            </w:tcMar>
            <w:vAlign w:val="center"/>
          </w:tcPr>
          <w:p>
            <w:pPr>
              <w:pStyle w:val="TableContents"/>
              <w:bidi w:val="0"/>
              <w:spacing w:before="180" w:after="283"/>
              <w:jc w:val="center"/>
              <w:rPr/>
            </w:pPr>
            <w:r>
              <w:rPr/>
              <w:drawing>
                <wp:inline distT="0" distB="0" distL="0" distR="0">
                  <wp:extent cx="168592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447675"/>
                          </a:xfrm>
                          <a:prstGeom prst="rect">
                            <a:avLst/>
                          </a:prstGeom>
                        </pic:spPr>
                      </pic:pic>
                    </a:graphicData>
                  </a:graphic>
                </wp:inline>
              </w:drawing>
            </w:r>
            <w:bookmarkStart w:id="0" w:name="i-1"/>
            <w:bookmarkEnd w:id="0"/>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180" w:after="283"/>
              <w:jc w:val="center"/>
              <w:rPr>
                <w:rFonts w:ascii="sans-serif" w:hAnsi="sans-serif"/>
                <w:b/>
                <w:color w:val="000000"/>
                <w:sz w:val="32"/>
              </w:rPr>
            </w:pPr>
            <w:r>
              <w:rPr>
                <w:rFonts w:ascii="sans-serif" w:hAnsi="sans-serif"/>
                <w:b/>
                <w:color w:val="000000"/>
                <w:sz w:val="32"/>
              </w:rPr>
              <w:t>EXELIXIS, INC.</w:t>
            </w:r>
          </w:p>
        </w:tc>
      </w:tr>
      <w:tr>
        <w:trPr/>
        <w:tc>
          <w:tcPr>
            <w:tcW w:w="44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80" w:after="283"/>
              <w:jc w:val="center"/>
              <w:rPr>
                <w:rFonts w:ascii="sans-serif" w:hAnsi="sans-serif"/>
                <w:b w:val="false"/>
                <w:color w:val="000000"/>
                <w:sz w:val="16"/>
              </w:rPr>
            </w:pPr>
            <w:r>
              <w:rPr>
                <w:rFonts w:ascii="sans-serif" w:hAnsi="sans-serif"/>
                <w:b w:val="false"/>
                <w:color w:val="000000"/>
                <w:sz w:val="16"/>
              </w:rPr>
              <w:t>(Exact name of registrant as specified in its charter)</w:t>
            </w:r>
          </w:p>
        </w:tc>
      </w:tr>
    </w:tbl>
    <w:tbl>
      <w:tblPr>
        <w:tblW w:w="8757" w:type="dxa"/>
        <w:jc w:val="left"/>
        <w:tblInd w:w="0" w:type="dxa"/>
        <w:tblLayout w:type="fixed"/>
        <w:tblCellMar>
          <w:top w:w="28" w:type="dxa"/>
          <w:left w:w="28" w:type="dxa"/>
          <w:bottom w:w="28" w:type="dxa"/>
          <w:right w:w="28" w:type="dxa"/>
        </w:tblCellMar>
      </w:tblPr>
      <w:tblGrid>
        <w:gridCol w:w="1830"/>
        <w:gridCol w:w="1606"/>
        <w:gridCol w:w="1619"/>
        <w:gridCol w:w="109"/>
        <w:gridCol w:w="109"/>
        <w:gridCol w:w="109"/>
        <w:gridCol w:w="989"/>
        <w:gridCol w:w="989"/>
        <w:gridCol w:w="1397"/>
      </w:tblGrid>
      <w:tr>
        <w:trPr/>
        <w:tc>
          <w:tcPr>
            <w:tcW w:w="183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04-3257395</w:t>
            </w:r>
          </w:p>
        </w:tc>
      </w:tr>
      <w:tr>
        <w:trPr/>
        <w:tc>
          <w:tcPr>
            <w:tcW w:w="5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6"/>
              </w:rPr>
            </w:pPr>
            <w:r>
              <w:rPr>
                <w:rFonts w:ascii="sans-serif" w:hAnsi="sans-serif"/>
                <w:b w:val="false"/>
                <w:color w:val="000000"/>
                <w:sz w:val="16"/>
              </w:rPr>
              <w:t>(I.R.S. Employer Identification Number)</w:t>
            </w:r>
          </w:p>
        </w:tc>
      </w:tr>
    </w:tbl>
    <w:p>
      <w:pPr>
        <w:pStyle w:val="TextBody"/>
        <w:bidi w:val="0"/>
        <w:spacing w:before="180" w:after="283"/>
        <w:jc w:val="center"/>
        <w:rPr/>
      </w:pPr>
      <w:r>
        <w:rPr/>
      </w:r>
    </w:p>
    <w:p>
      <w:pPr>
        <w:pStyle w:val="TextBody"/>
        <w:bidi w:val="0"/>
        <w:spacing w:lineRule="auto" w:line="288" w:before="0" w:after="0"/>
        <w:jc w:val="center"/>
        <w:rPr>
          <w:rFonts w:ascii="sans-serif" w:hAnsi="sans-serif"/>
          <w:b/>
          <w:color w:val="000000"/>
          <w:sz w:val="20"/>
          <w:shd w:fill="FFFFFF" w:val="clear"/>
        </w:rPr>
      </w:pPr>
      <w:r>
        <w:rPr>
          <w:rFonts w:ascii="sans-serif" w:hAnsi="sans-serif"/>
          <w:b/>
          <w:color w:val="000000"/>
          <w:sz w:val="20"/>
          <w:shd w:fill="FFFFFF" w:val="clear"/>
        </w:rPr>
        <w:t>1851 Harbor Bay Parkway</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Alameda, CA 94502</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(650) 837-7000</w:t>
      </w:r>
    </w:p>
    <w:p>
      <w:pPr>
        <w:pStyle w:val="TextBody"/>
        <w:bidi w:val="0"/>
        <w:spacing w:lineRule="auto" w:line="288" w:before="60" w:after="283"/>
        <w:jc w:val="center"/>
        <w:rPr>
          <w:rFonts w:ascii="sans-serif" w:hAnsi="sans-serif"/>
          <w:b w:val="false"/>
          <w:color w:val="000000"/>
          <w:sz w:val="16"/>
        </w:rPr>
      </w:pPr>
      <w:r>
        <w:rPr>
          <w:rFonts w:ascii="sans-serif" w:hAnsi="sans-serif"/>
          <w:b w:val="false"/>
          <w:color w:val="000000"/>
          <w:sz w:val="16"/>
        </w:rPr>
        <w:t>(Address, including zip code, and telephone number, including area code, of registrant’s principal executive offices)</w:t>
      </w:r>
    </w:p>
    <w:p>
      <w:pPr>
        <w:pStyle w:val="TextBody"/>
        <w:bidi w:val="0"/>
        <w:spacing w:lineRule="auto" w:line="288" w:before="120" w:after="283"/>
        <w:jc w:val="center"/>
        <w:rPr>
          <w:rFonts w:ascii="sans-serif" w:hAnsi="sans-serif"/>
          <w:b w:val="false"/>
          <w:color w:val="000000"/>
          <w:sz w:val="18"/>
        </w:rPr>
      </w:pPr>
      <w:r>
        <w:rPr>
          <w:rFonts w:ascii="sans-serif" w:hAnsi="sans-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686"/>
        <w:gridCol w:w="1462"/>
        <w:gridCol w:w="1459"/>
        <w:gridCol w:w="561"/>
        <w:gridCol w:w="561"/>
        <w:gridCol w:w="562"/>
        <w:gridCol w:w="1144"/>
        <w:gridCol w:w="1144"/>
        <w:gridCol w:w="1626"/>
      </w:tblGrid>
      <w:tr>
        <w:trPr/>
        <w:tc>
          <w:tcPr>
            <w:tcW w:w="1686"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r>
      <w:tr>
        <w:trPr/>
        <w:tc>
          <w:tcPr>
            <w:tcW w:w="46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u w:val="single"/>
              </w:rPr>
            </w:pPr>
            <w:r>
              <w:rPr>
                <w:rFonts w:ascii="sans-serif" w:hAnsi="sans-serif"/>
                <w:b w:val="false"/>
                <w:color w:val="000000"/>
                <w:sz w:val="18"/>
                <w:u w:val="single"/>
              </w:rPr>
              <w:t>Title of each class</w:t>
            </w:r>
          </w:p>
        </w:tc>
        <w:tc>
          <w:tcPr>
            <w:tcW w:w="1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u w:val="single"/>
              </w:rPr>
            </w:pPr>
            <w:r>
              <w:rPr>
                <w:rFonts w:ascii="sans-serif" w:hAnsi="sans-serif"/>
                <w:b w:val="false"/>
                <w:color w:val="000000"/>
                <w:sz w:val="18"/>
                <w:u w:val="single"/>
              </w:rPr>
              <w:t>Trading Symbol(s)</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18"/>
                <w:u w:val="single"/>
              </w:rPr>
            </w:pPr>
            <w:r>
              <w:rPr>
                <w:rFonts w:ascii="sans-serif" w:hAnsi="sans-serif"/>
                <w:b w:val="false"/>
                <w:color w:val="000000"/>
                <w:sz w:val="18"/>
                <w:u w:val="single"/>
              </w:rPr>
              <w:t>Name of each exchange on which registered</w:t>
            </w:r>
          </w:p>
        </w:tc>
      </w:tr>
      <w:tr>
        <w:trPr/>
        <w:tc>
          <w:tcPr>
            <w:tcW w:w="46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Common Stock, $0.001 Par Value per Share</w:t>
            </w:r>
          </w:p>
        </w:tc>
        <w:tc>
          <w:tcPr>
            <w:tcW w:w="1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EXEL</w:t>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The Nasdaq Stock Market LLC</w:t>
            </w:r>
          </w:p>
        </w:tc>
      </w:tr>
    </w:tbl>
    <w:p>
      <w:pPr>
        <w:pStyle w:val="TextBody"/>
        <w:bidi w:val="0"/>
        <w:spacing w:lineRule="auto" w:line="288" w:before="80" w:after="283"/>
        <w:ind w:left="0" w:right="0" w:firstLine="360"/>
        <w:jc w:val="left"/>
        <w:rPr/>
      </w:pPr>
      <w:r>
        <w:rPr>
          <w:rFonts w:ascii="sans-serif" w:hAnsi="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sans-serif" w:hAnsi="sans-serif"/>
          <w:b w:val="false"/>
          <w:color w:val="000000"/>
          <w:sz w:val="18"/>
        </w:rPr>
        <w:t>No </w:t>
      </w:r>
      <w:r>
        <w:rPr>
          <w:color w:val="000000"/>
        </w:rPr>
        <w:t>☐</w:t>
      </w:r>
    </w:p>
    <w:p>
      <w:pPr>
        <w:pStyle w:val="TextBody"/>
        <w:bidi w:val="0"/>
        <w:spacing w:lineRule="auto" w:line="288" w:before="180" w:after="283"/>
        <w:ind w:left="0" w:right="0" w:firstLine="360"/>
        <w:jc w:val="left"/>
        <w:rPr/>
      </w:pPr>
      <w:r>
        <w:rPr>
          <w:rFonts w:ascii="sans-serif" w:hAnsi="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sans-serif" w:hAnsi="sans-serif"/>
          <w:b w:val="false"/>
          <w:color w:val="000000"/>
          <w:sz w:val="18"/>
        </w:rPr>
        <w:t>No </w:t>
      </w:r>
      <w:r>
        <w:rPr>
          <w:color w:val="000000"/>
        </w:rPr>
        <w:t>☐</w:t>
      </w:r>
    </w:p>
    <w:p>
      <w:pPr>
        <w:pStyle w:val="TextBody"/>
        <w:bidi w:val="0"/>
        <w:spacing w:lineRule="auto" w:line="288" w:before="180" w:after="283"/>
        <w:ind w:left="0" w:right="0" w:firstLine="360"/>
        <w:jc w:val="left"/>
        <w:rPr>
          <w:rFonts w:ascii="sans-serif" w:hAnsi="sans-serif"/>
          <w:b w:val="false"/>
          <w:color w:val="000000"/>
          <w:sz w:val="18"/>
        </w:rPr>
      </w:pPr>
      <w:r>
        <w:rPr>
          <w:rFonts w:ascii="sans-serif" w:hAnsi="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74" w:type="dxa"/>
        <w:jc w:val="center"/>
        <w:tblInd w:w="0" w:type="dxa"/>
        <w:tblLayout w:type="fixed"/>
        <w:tblCellMar>
          <w:top w:w="28" w:type="dxa"/>
          <w:left w:w="28" w:type="dxa"/>
          <w:bottom w:w="28" w:type="dxa"/>
          <w:right w:w="28" w:type="dxa"/>
        </w:tblCellMar>
      </w:tblPr>
      <w:tblGrid>
        <w:gridCol w:w="777"/>
        <w:gridCol w:w="683"/>
        <w:gridCol w:w="685"/>
        <w:gridCol w:w="109"/>
        <w:gridCol w:w="109"/>
        <w:gridCol w:w="109"/>
        <w:gridCol w:w="109"/>
        <w:gridCol w:w="109"/>
        <w:gridCol w:w="109"/>
        <w:gridCol w:w="863"/>
        <w:gridCol w:w="863"/>
        <w:gridCol w:w="868"/>
        <w:gridCol w:w="109"/>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360"/>
        <w:jc w:val="left"/>
        <w:rPr/>
      </w:pPr>
      <w:r>
        <w:rPr>
          <w:rFonts w:ascii="sans-serif" w:hAnsi="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360"/>
        <w:jc w:val="left"/>
        <w:rPr/>
      </w:pPr>
      <w:r>
        <w:rPr>
          <w:rFonts w:ascii="sans-serif" w:hAnsi="sans-serif"/>
          <w:b w:val="false"/>
          <w:color w:val="000000"/>
          <w:sz w:val="18"/>
        </w:rPr>
        <w:t>Indicate by check mark whether the registrant is a shell company (as defined in Rule 12b-2 of the Exchange Act). Yes </w:t>
      </w:r>
      <w:r>
        <w:rPr>
          <w:color w:val="000000"/>
        </w:rPr>
        <w:t xml:space="preserve">☐ </w:t>
      </w:r>
      <w:r>
        <w:rPr>
          <w:rFonts w:ascii="sans-serif" w:hAnsi="sans-serif"/>
          <w:b w:val="false"/>
          <w:color w:val="000000"/>
          <w:sz w:val="18"/>
        </w:rPr>
        <w:t>No </w:t>
      </w:r>
      <w:r>
        <w:rPr>
          <w:color w:val="000000"/>
        </w:rPr>
        <w:t>☒</w:t>
      </w:r>
    </w:p>
    <w:p>
      <w:pPr>
        <w:pStyle w:val="TextBody"/>
        <w:bidi w:val="0"/>
        <w:spacing w:lineRule="auto" w:line="288" w:before="180" w:after="283"/>
        <w:ind w:left="0" w:right="0" w:firstLine="360"/>
        <w:jc w:val="left"/>
        <w:rPr>
          <w:rFonts w:ascii="sans-serif" w:hAnsi="sans-serif"/>
          <w:b w:val="false"/>
          <w:color w:val="000000"/>
          <w:sz w:val="18"/>
        </w:rPr>
      </w:pPr>
      <w:r>
        <w:rPr>
          <w:rFonts w:ascii="sans-serif" w:hAnsi="sans-serif"/>
          <w:b w:val="false"/>
          <w:color w:val="000000"/>
          <w:sz w:val="18"/>
        </w:rPr>
        <w:t xml:space="preserve">As of July 27, 2026, there were 247,781,692 shares of the registrant’s common stock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firstLine="720"/>
                        <w:jc w:val="left"/>
                        <w:rPr/>
                      </w:pPr>
                      <w:r>
                        <w:rPr/>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EXELIXIS,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QUARTERLY REPORT ON FORM 10-Q</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INDEX</w:t>
      </w:r>
    </w:p>
    <w:tbl>
      <w:tblPr>
        <w:tblW w:w="10205" w:type="dxa"/>
        <w:jc w:val="left"/>
        <w:tblInd w:w="0" w:type="dxa"/>
        <w:tblLayout w:type="fixed"/>
        <w:tblCellMar>
          <w:top w:w="28" w:type="dxa"/>
          <w:left w:w="28" w:type="dxa"/>
          <w:bottom w:w="28" w:type="dxa"/>
          <w:right w:w="28" w:type="dxa"/>
        </w:tblCellMar>
      </w:tblPr>
      <w:tblGrid>
        <w:gridCol w:w="368"/>
        <w:gridCol w:w="323"/>
        <w:gridCol w:w="310"/>
        <w:gridCol w:w="2522"/>
        <w:gridCol w:w="2449"/>
        <w:gridCol w:w="2456"/>
        <w:gridCol w:w="514"/>
        <w:gridCol w:w="514"/>
        <w:gridCol w:w="749"/>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0">
              <w:r>
                <w:rPr>
                  <w:rStyle w:val="InternetLink"/>
                  <w:rFonts w:ascii="sans-serif" w:hAnsi="sans-serif"/>
                  <w:b/>
                  <w:color w:val="0000FF"/>
                  <w:sz w:val="20"/>
                  <w:u w:val="single"/>
                </w:rPr>
                <w:t>PART I - FINANCIAL INFORMATION</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1.</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3">
              <w:r>
                <w:rPr>
                  <w:rStyle w:val="InternetLink"/>
                  <w:rFonts w:ascii="sans-serif" w:hAnsi="sans-serif"/>
                  <w:b w:val="false"/>
                  <w:color w:val="0000FF"/>
                  <w:sz w:val="20"/>
                  <w:u w:val="single"/>
                </w:rPr>
                <w:t>Financial Statements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3">
              <w:r>
                <w:rPr>
                  <w:rStyle w:val="InternetLink"/>
                  <w:rFonts w:ascii="sans-serif" w:hAnsi="sans-serif"/>
                  <w:b w:val="false"/>
                  <w:color w:val="0000FF"/>
                  <w:sz w:val="20"/>
                  <w:u w:val="single"/>
                </w:rPr>
                <w:t>3</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6">
              <w:r>
                <w:rPr>
                  <w:rStyle w:val="InternetLink"/>
                  <w:rFonts w:ascii="sans-serif" w:hAnsi="sans-serif"/>
                  <w:b w:val="false"/>
                  <w:color w:val="0000FF"/>
                  <w:sz w:val="20"/>
                  <w:u w:val="single"/>
                </w:rPr>
                <w:t>Condensed Consolidated Balance Sheets (Unaudited)</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6">
              <w:r>
                <w:rPr>
                  <w:rStyle w:val="InternetLink"/>
                  <w:rFonts w:ascii="sans-serif" w:hAnsi="sans-serif"/>
                  <w:b w:val="false"/>
                  <w:color w:val="0000FF"/>
                  <w:sz w:val="20"/>
                  <w:u w:val="single"/>
                </w:rPr>
                <w:t>3</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9">
              <w:r>
                <w:rPr>
                  <w:rStyle w:val="InternetLink"/>
                  <w:rFonts w:ascii="sans-serif" w:hAnsi="sans-serif"/>
                  <w:b w:val="false"/>
                  <w:color w:val="0000FF"/>
                  <w:sz w:val="20"/>
                  <w:u w:val="single"/>
                </w:rPr>
                <w:t>Condensed Consolidated Statements of Income (Unaudited)</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9">
              <w:r>
                <w:rPr>
                  <w:rStyle w:val="InternetLink"/>
                  <w:rFonts w:ascii="sans-serif" w:hAnsi="sans-serif"/>
                  <w:b w:val="false"/>
                  <w:color w:val="0000FF"/>
                  <w:sz w:val="20"/>
                  <w:u w:val="single"/>
                </w:rPr>
                <w:t>4</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22">
              <w:r>
                <w:rPr>
                  <w:rStyle w:val="InternetLink"/>
                  <w:rFonts w:ascii="sans-serif" w:hAnsi="sans-serif"/>
                  <w:b w:val="false"/>
                  <w:color w:val="0000FF"/>
                  <w:sz w:val="20"/>
                  <w:u w:val="single"/>
                </w:rPr>
                <w:t>Condensed Consolidated Statements of Comprehensive Income (Unaudited)</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22">
              <w:r>
                <w:rPr>
                  <w:rStyle w:val="InternetLink"/>
                  <w:rFonts w:ascii="sans-serif" w:hAnsi="sans-serif"/>
                  <w:b w:val="false"/>
                  <w:color w:val="0000FF"/>
                  <w:sz w:val="20"/>
                  <w:u w:val="single"/>
                </w:rPr>
                <w:t>4</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25">
              <w:r>
                <w:rPr>
                  <w:rStyle w:val="InternetLink"/>
                  <w:rFonts w:ascii="sans-serif" w:hAnsi="sans-serif"/>
                  <w:b w:val="false"/>
                  <w:color w:val="0000FF"/>
                  <w:sz w:val="20"/>
                  <w:u w:val="single"/>
                </w:rPr>
                <w:t>Condensed Consolidated Statements of Stockholders’ Equity (Unaudited)</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25">
              <w:r>
                <w:rPr>
                  <w:rStyle w:val="InternetLink"/>
                  <w:rFonts w:ascii="sans-serif" w:hAnsi="sans-serif"/>
                  <w:b w:val="false"/>
                  <w:color w:val="0000FF"/>
                  <w:sz w:val="20"/>
                  <w:u w:val="single"/>
                </w:rPr>
                <w:t>5</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31">
              <w:r>
                <w:rPr>
                  <w:rStyle w:val="InternetLink"/>
                  <w:rFonts w:ascii="sans-serif" w:hAnsi="sans-serif"/>
                  <w:b w:val="false"/>
                  <w:color w:val="0000FF"/>
                  <w:sz w:val="20"/>
                  <w:u w:val="single"/>
                </w:rPr>
                <w:t>Condensed Consolidated Statements of Cash Flows (Unaudited)</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31">
              <w:r>
                <w:rPr>
                  <w:rStyle w:val="InternetLink"/>
                  <w:rFonts w:ascii="sans-serif" w:hAnsi="sans-serif"/>
                  <w:b w:val="false"/>
                  <w:color w:val="0000FF"/>
                  <w:sz w:val="20"/>
                  <w:u w:val="single"/>
                </w:rPr>
                <w:t>7</w:t>
              </w:r>
            </w:hyperlink>
          </w:p>
        </w:tc>
      </w:tr>
      <w:tr>
        <w:trPr/>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34">
              <w:r>
                <w:rPr>
                  <w:rStyle w:val="InternetLink"/>
                  <w:rFonts w:ascii="sans-serif" w:hAnsi="sans-serif"/>
                  <w:b w:val="false"/>
                  <w:color w:val="0000FF"/>
                  <w:sz w:val="20"/>
                  <w:u w:val="single"/>
                </w:rPr>
                <w:t>Notes to Condensed Consolidated Financial Statements (Unaudited)</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34">
              <w:r>
                <w:rPr>
                  <w:rStyle w:val="InternetLink"/>
                  <w:rFonts w:ascii="sans-serif" w:hAnsi="sans-serif"/>
                  <w:b w:val="false"/>
                  <w:color w:val="0000FF"/>
                  <w:sz w:val="20"/>
                  <w:u w:val="single"/>
                </w:rPr>
                <w:t>8</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2.</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73">
              <w:r>
                <w:rPr>
                  <w:rStyle w:val="InternetLink"/>
                  <w:rFonts w:ascii="sans-serif" w:hAnsi="sans-serif"/>
                  <w:b w:val="false"/>
                  <w:color w:val="0000FF"/>
                  <w:sz w:val="20"/>
                  <w:u w:val="single"/>
                </w:rPr>
                <w:t>Management’s Discussion and Analysis of Financial Condition and Results of Operations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73">
              <w:r>
                <w:rPr>
                  <w:rStyle w:val="InternetLink"/>
                  <w:rFonts w:ascii="sans-serif" w:hAnsi="sans-serif"/>
                  <w:b w:val="false"/>
                  <w:color w:val="0000FF"/>
                  <w:sz w:val="20"/>
                  <w:u w:val="single"/>
                </w:rPr>
                <w:t>23</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3.</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88">
              <w:r>
                <w:rPr>
                  <w:rStyle w:val="InternetLink"/>
                  <w:rFonts w:ascii="sans-serif" w:hAnsi="sans-serif"/>
                  <w:b w:val="false"/>
                  <w:color w:val="0000FF"/>
                  <w:sz w:val="20"/>
                  <w:u w:val="single"/>
                </w:rPr>
                <w:t>Quantitative and Qualitative Disclosures About Market Risk</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88">
              <w:r>
                <w:rPr>
                  <w:rStyle w:val="InternetLink"/>
                  <w:rFonts w:ascii="sans-serif" w:hAnsi="sans-serif"/>
                  <w:b w:val="false"/>
                  <w:color w:val="0000FF"/>
                  <w:sz w:val="20"/>
                  <w:u w:val="single"/>
                </w:rPr>
                <w:t>37</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4.</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91">
              <w:r>
                <w:rPr>
                  <w:rStyle w:val="InternetLink"/>
                  <w:rFonts w:ascii="sans-serif" w:hAnsi="sans-serif"/>
                  <w:b w:val="false"/>
                  <w:color w:val="0000FF"/>
                  <w:sz w:val="20"/>
                  <w:u w:val="single"/>
                </w:rPr>
                <w:t>Controls and Procedures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91">
              <w:r>
                <w:rPr>
                  <w:rStyle w:val="InternetLink"/>
                  <w:rFonts w:ascii="sans-serif" w:hAnsi="sans-serif"/>
                  <w:b w:val="false"/>
                  <w:color w:val="0000FF"/>
                  <w:sz w:val="20"/>
                  <w:u w:val="single"/>
                </w:rPr>
                <w:t>37</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94">
              <w:r>
                <w:rPr>
                  <w:rStyle w:val="InternetLink"/>
                  <w:rFonts w:ascii="sans-serif" w:hAnsi="sans-serif"/>
                  <w:b/>
                  <w:color w:val="0000FF"/>
                  <w:sz w:val="20"/>
                  <w:u w:val="single"/>
                </w:rPr>
                <w:t>PART II - OTHER INFORMATION</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Item 1.</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97">
              <w:r>
                <w:rPr>
                  <w:rStyle w:val="InternetLink"/>
                  <w:rFonts w:ascii="sans-serif" w:hAnsi="sans-serif"/>
                  <w:b w:val="false"/>
                  <w:color w:val="0000FF"/>
                  <w:sz w:val="20"/>
                  <w:u w:val="single"/>
                </w:rPr>
                <w:t>Legal Proceedings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97">
              <w:r>
                <w:rPr>
                  <w:rStyle w:val="InternetLink"/>
                  <w:rFonts w:ascii="sans-serif" w:hAnsi="sans-serif"/>
                  <w:b w:val="false"/>
                  <w:color w:val="0000FF"/>
                  <w:sz w:val="20"/>
                  <w:u w:val="single"/>
                </w:rPr>
                <w:t>38</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1A.</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00">
              <w:r>
                <w:rPr>
                  <w:rStyle w:val="InternetLink"/>
                  <w:rFonts w:ascii="sans-serif" w:hAnsi="sans-serif"/>
                  <w:b w:val="false"/>
                  <w:color w:val="0000FF"/>
                  <w:sz w:val="20"/>
                  <w:u w:val="single"/>
                </w:rPr>
                <w:t>Risk Factors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00">
              <w:r>
                <w:rPr>
                  <w:rStyle w:val="InternetLink"/>
                  <w:rFonts w:ascii="sans-serif" w:hAnsi="sans-serif"/>
                  <w:b w:val="false"/>
                  <w:color w:val="0000FF"/>
                  <w:sz w:val="20"/>
                  <w:u w:val="single"/>
                </w:rPr>
                <w:t>38</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2.</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03">
              <w:r>
                <w:rPr>
                  <w:rStyle w:val="InternetLink"/>
                  <w:rFonts w:ascii="sans-serif" w:hAnsi="sans-serif"/>
                  <w:b w:val="false"/>
                  <w:color w:val="0000FF"/>
                  <w:sz w:val="20"/>
                  <w:u w:val="single"/>
                </w:rPr>
                <w:t>Unregistered Sales of Equity Securities and Use of Proceeds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03">
              <w:r>
                <w:rPr>
                  <w:rStyle w:val="InternetLink"/>
                  <w:rFonts w:ascii="sans-serif" w:hAnsi="sans-serif"/>
                  <w:b w:val="false"/>
                  <w:color w:val="0000FF"/>
                  <w:sz w:val="20"/>
                  <w:u w:val="single"/>
                </w:rPr>
                <w:t>38</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3.</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06">
              <w:r>
                <w:rPr>
                  <w:rStyle w:val="InternetLink"/>
                  <w:rFonts w:ascii="sans-serif" w:hAnsi="sans-serif"/>
                  <w:b w:val="false"/>
                  <w:color w:val="0000FF"/>
                  <w:sz w:val="20"/>
                  <w:u w:val="single"/>
                </w:rPr>
                <w:t>Defaults Upon Senior Securities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06">
              <w:r>
                <w:rPr>
                  <w:rStyle w:val="InternetLink"/>
                  <w:rFonts w:ascii="sans-serif" w:hAnsi="sans-serif"/>
                  <w:b w:val="false"/>
                  <w:color w:val="0000FF"/>
                  <w:sz w:val="20"/>
                  <w:u w:val="single"/>
                </w:rPr>
                <w:t>38</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4.</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09">
              <w:r>
                <w:rPr>
                  <w:rStyle w:val="InternetLink"/>
                  <w:rFonts w:ascii="sans-serif" w:hAnsi="sans-serif"/>
                  <w:b w:val="false"/>
                  <w:color w:val="0000FF"/>
                  <w:sz w:val="20"/>
                  <w:u w:val="single"/>
                </w:rPr>
                <w:t>Mine Safety Disclosures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09">
              <w:r>
                <w:rPr>
                  <w:rStyle w:val="InternetLink"/>
                  <w:rFonts w:ascii="sans-serif" w:hAnsi="sans-serif"/>
                  <w:b w:val="false"/>
                  <w:color w:val="0000FF"/>
                  <w:sz w:val="20"/>
                  <w:u w:val="single"/>
                </w:rPr>
                <w:t>39</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5.</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12">
              <w:r>
                <w:rPr>
                  <w:rStyle w:val="InternetLink"/>
                  <w:rFonts w:ascii="sans-serif" w:hAnsi="sans-serif"/>
                  <w:b w:val="false"/>
                  <w:color w:val="0000FF"/>
                  <w:sz w:val="20"/>
                  <w:u w:val="single"/>
                </w:rPr>
                <w:t>Other Information</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12">
              <w:r>
                <w:rPr>
                  <w:rStyle w:val="InternetLink"/>
                  <w:rFonts w:ascii="sans-serif" w:hAnsi="sans-serif"/>
                  <w:b w:val="false"/>
                  <w:color w:val="0000FF"/>
                  <w:sz w:val="20"/>
                  <w:u w:val="single"/>
                </w:rPr>
                <w:t>39</w:t>
              </w:r>
            </w:hyperlink>
          </w:p>
        </w:tc>
      </w:tr>
      <w:tr>
        <w:trPr/>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Item 6.</w:t>
            </w:r>
          </w:p>
        </w:tc>
        <w:tc>
          <w:tcPr>
            <w:tcW w:w="74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44e86f88b145018a6223a3b0646464_118">
              <w:r>
                <w:rPr>
                  <w:rStyle w:val="InternetLink"/>
                  <w:rFonts w:ascii="sans-serif" w:hAnsi="sans-serif"/>
                  <w:b w:val="false"/>
                  <w:color w:val="0000FF"/>
                  <w:sz w:val="20"/>
                  <w:u w:val="single"/>
                </w:rPr>
                <w:t>Exhibits</w:t>
              </w:r>
            </w:hyperlink>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18">
              <w:r>
                <w:rPr>
                  <w:rStyle w:val="InternetLink"/>
                  <w:rFonts w:ascii="sans-serif" w:hAnsi="sans-serif"/>
                  <w:b w:val="false"/>
                  <w:color w:val="0000FF"/>
                  <w:sz w:val="20"/>
                  <w:u w:val="single"/>
                </w:rPr>
                <w:t>39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1044e86f88b145018a6223a3b0646464_121">
              <w:r>
                <w:rPr>
                  <w:rStyle w:val="InternetLink"/>
                  <w:rFonts w:ascii="sans-serif" w:hAnsi="sans-serif"/>
                  <w:b/>
                  <w:color w:val="0000FF"/>
                  <w:sz w:val="20"/>
                  <w:u w:val="single"/>
                </w:rPr>
                <w:t>SIGNATURES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62255"/>
                <wp:effectExtent l="0" t="0" r="0" b="0"/>
                <wp:wrapNone/>
                <wp:docPr id="3" name="Frame2"/>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pPr>
      <w:r>
        <w:rPr>
          <w:rFonts w:ascii="sans-serif" w:hAnsi="sans-serif"/>
          <w:b/>
          <w:color w:val="000000"/>
          <w:sz w:val="20"/>
        </w:rPr>
        <w:t>PART I</w:t>
      </w:r>
      <w:r>
        <w:rPr>
          <w:color w:val="000000"/>
        </w:rPr>
        <w:t>—</w:t>
      </w:r>
      <w:r>
        <w:rPr>
          <w:rFonts w:ascii="sans-serif" w:hAnsi="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18"/>
        </w:rPr>
      </w:pPr>
      <w:r>
        <w:rPr>
          <w:rFonts w:ascii="sans-serif" w:hAnsi="sans-serif"/>
          <w:b/>
          <w:color w:val="000000"/>
          <w:sz w:val="18"/>
        </w:rPr>
        <w:t>EXELIXIS,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CONDENSED CONSOLIDATED BALANCE SHEETS</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(in thousands, except per share data)</w:t>
      </w:r>
    </w:p>
    <w:p>
      <w:pPr>
        <w:pStyle w:val="TextBody"/>
        <w:bidi w:val="0"/>
        <w:spacing w:lineRule="auto" w:line="288" w:before="0" w:after="180"/>
        <w:jc w:val="center"/>
        <w:rPr>
          <w:rFonts w:ascii="sans-serif" w:hAnsi="sans-serif"/>
          <w:b/>
          <w:color w:val="000000"/>
          <w:sz w:val="18"/>
        </w:rPr>
      </w:pPr>
      <w:r>
        <w:rPr>
          <w:rFonts w:ascii="sans-serif" w:hAnsi="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801"/>
        <w:gridCol w:w="1975"/>
        <w:gridCol w:w="1930"/>
        <w:gridCol w:w="226"/>
        <w:gridCol w:w="1128"/>
        <w:gridCol w:w="109"/>
        <w:gridCol w:w="109"/>
        <w:gridCol w:w="109"/>
        <w:gridCol w:w="109"/>
        <w:gridCol w:w="256"/>
        <w:gridCol w:w="1276"/>
        <w:gridCol w:w="177"/>
      </w:tblGrid>
      <w:tr>
        <w:trPr/>
        <w:tc>
          <w:tcPr>
            <w:tcW w:w="2801"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670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4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ASSETS</w:t>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assets:</w:t>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482,488 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Marketable securities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576,603 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Trade receivables,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286,916 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Inventory</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21,686 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75,596 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current assets</w:t>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1,250,822 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1,443,289 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Non-current marketable securities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603,603 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98,960 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Deferred tax assets, net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292,582 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Goodwill</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Right-of-use assets and other non-current assets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342,305 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assets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2,494,234 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2,844,423 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000000"/>
                <w:sz w:val="20"/>
              </w:rPr>
            </w:pPr>
            <w:r>
              <w:rPr>
                <w:rFonts w:ascii="sans-serif" w:hAnsi="sans-serif"/>
                <w:b/>
                <w:color w:val="000000"/>
                <w:sz w:val="20"/>
              </w:rPr>
              <w:t>LIABILITIES AND STOCKHOLDERS’ EQUITY</w:t>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liabilities:</w:t>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payable</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29,623 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compensation and benefits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102,218 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clinical trial liabilities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65,742 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Rebates and fees due to customers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59,896 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collaboration liabilities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22,783 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current liabilities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125,382 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3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361,927 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405,644 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Non-current operating lease liabilities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173,038 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non-current liabilities</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104,422 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liabilities</w:t>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650,472 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683,104 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Commitments and contingencies (Note 11)</w:t>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Stockholders’ equity:</w:t>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Preferred stock, $0.001 par value, 10,000 shares authorized and no shares issued</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Common stock, $0.001 par value; 400,000 shares authorized; issued and outstanding: 248,885 and 262,483 at June 30, 2026, and December 31, 2025, respectively</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Additional paid-in-capital</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2,108,059 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2,234,411 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Accumulated other comprehensive income (loss)</w:t>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Accumulated deficit</w:t>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(76,830)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13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1,843,762 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2,161,319 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liabilities and stockholders’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2,494,234 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2,844,423 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EXELIXIS,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CONDENSED CONSOLIDATED STATEMENTS OF INCOME</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(in thousands, except per share data)</w:t>
      </w:r>
    </w:p>
    <w:p>
      <w:pPr>
        <w:pStyle w:val="TextBody"/>
        <w:bidi w:val="0"/>
        <w:spacing w:lineRule="auto" w:line="288" w:before="0" w:after="180"/>
        <w:jc w:val="center"/>
        <w:rPr>
          <w:rFonts w:ascii="sans-serif" w:hAnsi="sans-serif"/>
          <w:b/>
          <w:color w:val="000000"/>
          <w:sz w:val="18"/>
        </w:rPr>
      </w:pPr>
      <w:r>
        <w:rPr>
          <w:rFonts w:ascii="sans-serif" w:hAnsi="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1520"/>
        <w:gridCol w:w="1022"/>
        <w:gridCol w:w="1029"/>
        <w:gridCol w:w="235"/>
        <w:gridCol w:w="986"/>
        <w:gridCol w:w="113"/>
        <w:gridCol w:w="113"/>
        <w:gridCol w:w="113"/>
        <w:gridCol w:w="113"/>
        <w:gridCol w:w="235"/>
        <w:gridCol w:w="986"/>
        <w:gridCol w:w="113"/>
        <w:gridCol w:w="109"/>
        <w:gridCol w:w="109"/>
        <w:gridCol w:w="109"/>
        <w:gridCol w:w="226"/>
        <w:gridCol w:w="1126"/>
        <w:gridCol w:w="109"/>
        <w:gridCol w:w="109"/>
        <w:gridCol w:w="109"/>
        <w:gridCol w:w="109"/>
        <w:gridCol w:w="226"/>
        <w:gridCol w:w="1126"/>
        <w:gridCol w:w="160"/>
      </w:tblGrid>
      <w:tr>
        <w:trPr/>
        <w:tc>
          <w:tcPr>
            <w:tcW w:w="15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Revenues:</w:t>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product revenues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573,025 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520,014 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1,033,297 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Collaboration revenues</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55,665 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48,247 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90,411 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revenues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628,690 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568,261 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1,239,502 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1,123,708 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Operating expenses:</w:t>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goods sold</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19,470 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38,642 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211,987 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200,356 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412,589 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147,632 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134,859 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287,234 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272,042 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571"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380,276 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354,685 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739,747 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723,273 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from operations</w:t>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248,414 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213,576 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499,755 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400,435 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14,210 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16,789 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35,865 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income (expenses), net</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262,678 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230,415 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530,365 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436,105 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Provision for income taxes</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50,628 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45,567 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107,848 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91,641 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212,050 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184,848 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344,464 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 per share:</w:t>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Basic</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Diluted</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Weighted-average common shares outstanding:</w:t>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Basic</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272,583 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275,693 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Diluted</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259,675 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284,393 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286,285 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1"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sans-serif" w:hAnsi="sans-serif"/>
          <w:b/>
          <w:color w:val="000000"/>
          <w:sz w:val="18"/>
        </w:rPr>
      </w:pPr>
      <w:r>
        <w:rPr>
          <w:rFonts w:ascii="sans-serif" w:hAnsi="sans-serif"/>
          <w:b/>
          <w:color w:val="000000"/>
          <w:sz w:val="18"/>
        </w:rPr>
        <w:t>EXELIXIS,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CONDENSED CONSOLIDATED STATEMENTS OF COMPREHENSIVE INCOME</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(in thousands)</w:t>
      </w:r>
    </w:p>
    <w:p>
      <w:pPr>
        <w:pStyle w:val="TextBody"/>
        <w:bidi w:val="0"/>
        <w:spacing w:lineRule="auto" w:line="288" w:before="0" w:after="180"/>
        <w:jc w:val="center"/>
        <w:rPr>
          <w:rFonts w:ascii="sans-serif" w:hAnsi="sans-serif"/>
          <w:b/>
          <w:color w:val="000000"/>
          <w:sz w:val="18"/>
        </w:rPr>
      </w:pPr>
      <w:r>
        <w:rPr>
          <w:rFonts w:ascii="sans-serif" w:hAnsi="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564"/>
        <w:gridCol w:w="1219"/>
        <w:gridCol w:w="1229"/>
        <w:gridCol w:w="229"/>
        <w:gridCol w:w="959"/>
        <w:gridCol w:w="110"/>
        <w:gridCol w:w="110"/>
        <w:gridCol w:w="110"/>
        <w:gridCol w:w="110"/>
        <w:gridCol w:w="229"/>
        <w:gridCol w:w="959"/>
        <w:gridCol w:w="110"/>
        <w:gridCol w:w="109"/>
        <w:gridCol w:w="109"/>
        <w:gridCol w:w="109"/>
        <w:gridCol w:w="226"/>
        <w:gridCol w:w="946"/>
        <w:gridCol w:w="109"/>
        <w:gridCol w:w="109"/>
        <w:gridCol w:w="109"/>
        <w:gridCol w:w="109"/>
        <w:gridCol w:w="226"/>
        <w:gridCol w:w="946"/>
        <w:gridCol w:w="160"/>
      </w:tblGrid>
      <w:tr>
        <w:trPr/>
        <w:tc>
          <w:tcPr>
            <w:tcW w:w="156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212,050 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184,848 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344,464 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income (loss):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Net unrealized gains (losses) on available-for-sale debt securities, net of tax impact of $475, $197, $1,622 and $(786), respectively</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(1,598)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Comprehensive income</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210,452 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184,187 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417,028 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347,160 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62255"/>
                <wp:effectExtent l="0" t="0" r="0" b="0"/>
                <wp:wrapNone/>
                <wp:docPr id="5" name="Frame4"/>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EXELIXIS,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CONDENSED CONSOLIDATED STATEMENTS OF STOCKHOLDERS’ EQUITY</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(in thousands)</w:t>
      </w:r>
    </w:p>
    <w:p>
      <w:pPr>
        <w:pStyle w:val="TextBody"/>
        <w:bidi w:val="0"/>
        <w:spacing w:lineRule="auto" w:line="288" w:before="0" w:after="180"/>
        <w:jc w:val="center"/>
        <w:rPr>
          <w:rFonts w:ascii="sans-serif" w:hAnsi="sans-serif"/>
          <w:b/>
          <w:color w:val="000000"/>
          <w:sz w:val="18"/>
        </w:rPr>
      </w:pPr>
      <w:r>
        <w:rPr>
          <w:rFonts w:ascii="sans-serif" w:hAnsi="sans-serif"/>
          <w:b/>
          <w:color w:val="000000"/>
          <w:sz w:val="18"/>
        </w:rPr>
        <w:t>(unaudited)</w:t>
      </w:r>
    </w:p>
    <w:tbl>
      <w:tblPr>
        <w:tblW w:w="11533" w:type="dxa"/>
        <w:jc w:val="center"/>
        <w:tblInd w:w="0" w:type="dxa"/>
        <w:tblLayout w:type="fixed"/>
        <w:tblCellMar>
          <w:top w:w="28" w:type="dxa"/>
          <w:left w:w="28" w:type="dxa"/>
          <w:bottom w:w="28" w:type="dxa"/>
          <w:right w:w="28" w:type="dxa"/>
        </w:tblCellMar>
      </w:tblPr>
      <w:tblGrid>
        <w:gridCol w:w="941"/>
        <w:gridCol w:w="339"/>
        <w:gridCol w:w="341"/>
        <w:gridCol w:w="473"/>
        <w:gridCol w:w="473"/>
        <w:gridCol w:w="271"/>
        <w:gridCol w:w="109"/>
        <w:gridCol w:w="109"/>
        <w:gridCol w:w="109"/>
        <w:gridCol w:w="244"/>
        <w:gridCol w:w="563"/>
        <w:gridCol w:w="109"/>
        <w:gridCol w:w="109"/>
        <w:gridCol w:w="109"/>
        <w:gridCol w:w="109"/>
        <w:gridCol w:w="226"/>
        <w:gridCol w:w="1126"/>
        <w:gridCol w:w="109"/>
        <w:gridCol w:w="109"/>
        <w:gridCol w:w="109"/>
        <w:gridCol w:w="109"/>
        <w:gridCol w:w="362"/>
        <w:gridCol w:w="1157"/>
        <w:gridCol w:w="177"/>
        <w:gridCol w:w="109"/>
        <w:gridCol w:w="109"/>
        <w:gridCol w:w="109"/>
        <w:gridCol w:w="251"/>
        <w:gridCol w:w="1068"/>
        <w:gridCol w:w="122"/>
        <w:gridCol w:w="109"/>
        <w:gridCol w:w="109"/>
        <w:gridCol w:w="109"/>
        <w:gridCol w:w="232"/>
        <w:gridCol w:w="1155"/>
        <w:gridCol w:w="159"/>
      </w:tblGrid>
      <w:tr>
        <w:trPr/>
        <w:tc>
          <w:tcPr>
            <w:tcW w:w="9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 2026</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 Stockholders' Equity</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Balance at March 31, 2026</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253,701 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2,151,703 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(215,794)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1,935,748 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212,050 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212,050 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(1,598)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under the equity incentive plan and stock purchase plan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15,235 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 transactions associated with taxes withheld on equity awards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(36,344)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(258,789)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(314,028)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32,699 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Balance at June 30, 2026</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248,885 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2,108,059 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(2,013)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(262,533)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1,843,762 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2"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 2025</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Additional</w:t>
              <w:br/>
              <w:t>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Accumulated Other Comprehensive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 Stockholders' Equity</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Balance at March 31, 2025</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275,033 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2,292,033 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2,010 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(163,294)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2,131,024 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184,848 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184,848 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under the equity incentive plan and stock purchase plan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 transactions associated with taxes withheld on equity awards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(40,553)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(241,093)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(303,821)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36,412 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Balance at June 30, 2025</w:t>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270,132 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2,251,456 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(219,539)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2,033,536 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Continued on next page</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62255"/>
                <wp:effectExtent l="0" t="0" r="0" b="0"/>
                <wp:wrapNone/>
                <wp:docPr id="6" name="Frame5"/>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EXELIXIS,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CONDENSED CONSOLIDATED STATEMENTS OF STOCKHOLDERS’ EQUITY</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(in thousands)</w:t>
      </w:r>
    </w:p>
    <w:p>
      <w:pPr>
        <w:pStyle w:val="TextBody"/>
        <w:bidi w:val="0"/>
        <w:spacing w:lineRule="auto" w:line="288" w:before="0" w:after="180"/>
        <w:jc w:val="center"/>
        <w:rPr>
          <w:rFonts w:ascii="sans-serif" w:hAnsi="sans-serif"/>
          <w:b/>
          <w:color w:val="000000"/>
          <w:sz w:val="18"/>
        </w:rPr>
      </w:pPr>
      <w:r>
        <w:rPr>
          <w:rFonts w:ascii="sans-serif" w:hAnsi="sans-serif"/>
          <w:b/>
          <w:color w:val="000000"/>
          <w:sz w:val="18"/>
        </w:rPr>
        <w:t>(unaudited)</w:t>
      </w:r>
    </w:p>
    <w:tbl>
      <w:tblPr>
        <w:tblW w:w="11533" w:type="dxa"/>
        <w:jc w:val="center"/>
        <w:tblInd w:w="0" w:type="dxa"/>
        <w:tblLayout w:type="fixed"/>
        <w:tblCellMar>
          <w:top w:w="28" w:type="dxa"/>
          <w:left w:w="28" w:type="dxa"/>
          <w:bottom w:w="28" w:type="dxa"/>
          <w:right w:w="28" w:type="dxa"/>
        </w:tblCellMar>
      </w:tblPr>
      <w:tblGrid>
        <w:gridCol w:w="673"/>
        <w:gridCol w:w="473"/>
        <w:gridCol w:w="475"/>
        <w:gridCol w:w="473"/>
        <w:gridCol w:w="473"/>
        <w:gridCol w:w="271"/>
        <w:gridCol w:w="109"/>
        <w:gridCol w:w="109"/>
        <w:gridCol w:w="109"/>
        <w:gridCol w:w="244"/>
        <w:gridCol w:w="563"/>
        <w:gridCol w:w="109"/>
        <w:gridCol w:w="109"/>
        <w:gridCol w:w="109"/>
        <w:gridCol w:w="109"/>
        <w:gridCol w:w="226"/>
        <w:gridCol w:w="1126"/>
        <w:gridCol w:w="109"/>
        <w:gridCol w:w="109"/>
        <w:gridCol w:w="109"/>
        <w:gridCol w:w="109"/>
        <w:gridCol w:w="362"/>
        <w:gridCol w:w="1157"/>
        <w:gridCol w:w="177"/>
        <w:gridCol w:w="109"/>
        <w:gridCol w:w="109"/>
        <w:gridCol w:w="109"/>
        <w:gridCol w:w="251"/>
        <w:gridCol w:w="1068"/>
        <w:gridCol w:w="122"/>
        <w:gridCol w:w="109"/>
        <w:gridCol w:w="109"/>
        <w:gridCol w:w="109"/>
        <w:gridCol w:w="232"/>
        <w:gridCol w:w="1155"/>
        <w:gridCol w:w="159"/>
      </w:tblGrid>
      <w:tr>
        <w:trPr/>
        <w:tc>
          <w:tcPr>
            <w:tcW w:w="6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 2026</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 xml:space="preserve">Accumulated Deficit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 Stockholders' Equity</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Balance at December 31, 2025 </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262,483 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2,234,411 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3,476 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(76,830)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2,161,319 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422,517 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422,517 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(5,489)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Issuance of common stock under the equity incentive plan and stock purchase plan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22,830 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 transactions associated with taxes withheld on equity awards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(70,552)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(140,529)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(608,220)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(748,766)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61,903 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Balance at June 30, 2026 </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248,885 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2,108,059 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(2,013)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(262,533)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1,843,762 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2"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 2025</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Additional</w:t>
              <w:br/>
              <w:t>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Accumulated Other 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 Stockholders' Equity</w:t>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Balance at December 31, 2024 </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281,732 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2,343,915 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(98,647)</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2,244,203 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344,464 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344,464 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comprehensive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2,696 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Issuance of common stock under the equity incentive plan and stock purchase plan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37,850 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 transactions associated with taxes withheld on equity awards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(63,059)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(15,588)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(465,356)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(595,147)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62,529 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Balance at June 30, 2025 </w:t>
            </w:r>
          </w:p>
        </w:tc>
        <w:tc>
          <w:tcPr>
            <w:tcW w:w="9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270,132 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2,251,456 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(219,539)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2,033,536 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62255"/>
                <wp:effectExtent l="0" t="0" r="0" b="0"/>
                <wp:wrapNone/>
                <wp:docPr id="7" name="Frame6"/>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EXELIXIS,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 xml:space="preserve">CONDENSED CONSOLIDATED STATEMENTS OF CASH FLOWS </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(in thousands)</w:t>
      </w:r>
    </w:p>
    <w:p>
      <w:pPr>
        <w:pStyle w:val="TextBody"/>
        <w:bidi w:val="0"/>
        <w:spacing w:lineRule="auto" w:line="288" w:before="0" w:after="180"/>
        <w:jc w:val="center"/>
        <w:rPr>
          <w:rFonts w:ascii="sans-serif" w:hAnsi="sans-serif"/>
          <w:b/>
          <w:color w:val="000000"/>
          <w:sz w:val="18"/>
        </w:rPr>
      </w:pPr>
      <w:r>
        <w:rPr>
          <w:rFonts w:ascii="sans-serif" w:hAnsi="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55"/>
        <w:gridCol w:w="2299"/>
        <w:gridCol w:w="2315"/>
        <w:gridCol w:w="226"/>
        <w:gridCol w:w="946"/>
        <w:gridCol w:w="109"/>
        <w:gridCol w:w="109"/>
        <w:gridCol w:w="109"/>
        <w:gridCol w:w="109"/>
        <w:gridCol w:w="226"/>
        <w:gridCol w:w="946"/>
        <w:gridCol w:w="156"/>
      </w:tblGrid>
      <w:tr>
        <w:trPr/>
        <w:tc>
          <w:tcPr>
            <w:tcW w:w="2655"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7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344,464 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Adjustments to reconcile net income to net cash provided by operating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14,687 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Non-cash lease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Acquired in-process research and development technology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(10,617)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Trade receivables,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(26,837)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Inventory</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Prepaid expenses and other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99,156 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(84,386)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Accrued collaboration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Accounts payable and other liabilities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(55,007)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559,586 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260,430 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flows from investing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Purchases of marketable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(342,683)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(288,186)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Proceeds from maturities and sales of marketable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394,393 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612,021 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Purchases of property, equipment and other,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Acquired in-process research and development technology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investing activities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297,795 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flows from financing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Payments for repurchases of common stock</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(753,326)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(585,858)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Proceeds from issuance of common stock under the equity incentive plan and stock purchase plan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37,710 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Taxes paid related to net share settlement of equity awards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used in financing activities</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(800,986)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(611,166)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Net decrease in cash and cash equivalents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(201,040)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(52,941)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and cash equivalents at beginning of period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482,488 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217,374 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and cash equivalents at end of period</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281,448 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164,433 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26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26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726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62255"/>
                <wp:effectExtent l="0" t="0" r="0" b="0"/>
                <wp:wrapNone/>
                <wp:docPr id="8" name="Frame7"/>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EXELIXIS, INC.</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NOTES TO CONDENSED CONSOLIDATED FINANCIAL STATEMENTS</w:t>
      </w:r>
    </w:p>
    <w:p>
      <w:pPr>
        <w:pStyle w:val="TextBody"/>
        <w:bidi w:val="0"/>
        <w:spacing w:lineRule="auto" w:line="288" w:before="0" w:after="0"/>
        <w:jc w:val="center"/>
        <w:rPr>
          <w:rFonts w:ascii="sans-serif" w:hAnsi="sans-serif"/>
          <w:b/>
          <w:color w:val="000000"/>
          <w:sz w:val="18"/>
        </w:rPr>
      </w:pPr>
      <w:r>
        <w:rPr>
          <w:rFonts w:ascii="sans-serif" w:hAnsi="sans-serif"/>
          <w:b/>
          <w:color w:val="000000"/>
          <w:sz w:val="18"/>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1. ORGANIZATION AND SUMMARY OF SIGNIFICANT ACCOUNTING POLICIES</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Organization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Exelixis, Inc. (Exelixis, we, our or us) is an oncology company innovating next-generation medicines and regimens at the forefront of cancer care. We have produced four marketed pharmaceutical products, two of which are formulations of our flagship molecule, cabozantinib, and we are steadily advancing and evolving our product pipeline portfolio, including our lead clinical asset, zanzalintinib, currently under review by the U.S. Food and Drug Administration (FDA) for the treatment of certain forms of colorectal cancer, as well as the focus of an extensive late-stage clinical development program in other indications. With a rational and disciplined approach to investment, we are leveraging our internal experience and expertise, and the strength of strategic partnerships, to identify and pursue opportunities across the landscape of scientific modalities, including small molecules and biotherapeutics, such as antibody-drug conjugates.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Sales related to cabozantinib account for the majority of our revenues. Cabozantinib is an inhibitor of multiple tyrosine kinases, including MET, AXL, VEGF receptors and RET and has been approved by the FDA, and in other countries for all or a combination of, the following: as CABOMETYX® (cabozantinib) tablets for advanced renal cell carcinoma (RCC) (both alone and in combination with Bristol-Myers Squibb Company’s nivolumab (OPDIVO®)), previously treated hepatocellular carcinoma, previously treated, radioactive iodine-refractory differentiated thyroid cancer, and previously treated, unresectable, locally advanced or metastatic, well-differentiated pancreatic neuroendocrine tumors and extra-pancreatic neuroendocrine tumors; and as COMETRIQ® (cabozantinib) capsules for progressive, metastatic medullary thyroid cancer. For physicians treating these types of cancer, cabozantinib has become or is becoming an important medicine in their selection of effective therapies.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other two products resulting from our discovery efforts are: COTELLIC® (cobimetinib), an inhibitor of MEK, approved as part of multiple combination regimens to treat specific forms of advanced melanoma and marketed under a collaboration with Genentech, Inc. (a member of the Roche Group) (Genentech); and MINNEBRO® (esaxerenone), an oral, non-steroidal, selective blocker of the mineralocorticoid receptor, approved for the treatment of hypertension in Japan and licensed to Daiichi Sankyo Company, Limited.</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Basis of Presentation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accompanying unaudited Condensed Consolidated Financial Statements include the accounts of Exelixis and those of our wholly owned subsidiaries. These entities’ functional currency is the U.S. dollar. All intercompany balances and transactions have been eliminated.</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have adopted a 52- or 53-week fiscal year policy that generally ends on the Friday closest to December 31. Fiscal year 2026, which is a 52-week fiscal year, will end on January 1, 2027 and fiscal year 2025, which was a 52-week fiscal year, ended on January 2, 2026. For convenience, references in this report as of and for the fiscal periods ended July 3, 2026, July 4, 2025, April 3, 2026 and April 4, 2025, and as of and for the fiscal year ending January 1, 2027 and the fiscal years ended January 2, 2026 and January 3, 2025, are indicated as being as of and for the periods ended June 30, 2026, June 30, 2025, March 31, 2026 and March 31, 2025, and the year ending December 31, 2026, and the years ended December 31, 2025, and December 31, 2024, respectively.</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accompanying Condensed Consolidated Financial Statements have been prepared in accordance with accounting principles generally accepted in the U.S. for interim financial information and pursuant to Form 10-Q and Article 10 of Regulation S-X of the Securities and Exchange Commission (SEC). Accordingly, they do not include all of the information and footnotes required by U.S. generally accepted accounting principles for complete financial statements. In our opinion, all adjustments (consisting only of normal recurring adjustments) considered necessary for a fair presentation of our financial statements for the periods presented have been included. Operating results for the six months ended June 30, 2026 are not necessarily indicative of the results that may be expected for the year ending December 31, 2026 or for any future period. The accompanying Condensed Consolidated Financial Statements and Notes thereto should be read in conjunction with our Consolidated Financial Statements and Notes thereto for the fiscal year ended December 31, 2025, included in Part II, Item 8 of our Annual Report on Form 10-K, filed with the SEC on February 10, 2026 (Fiscal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2255"/>
                <wp:effectExtent l="0" t="0" r="0" b="0"/>
                <wp:wrapNone/>
                <wp:docPr id="9" name="Frame8"/>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Use of Estimates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preparation of the accompanying Condensed Consolidated Financial Statements conforms to accounting principles generally accepted in the U.S., which requires management to make judgments, estimates and assumptions that affect the reported amounts of assets, liabilities, equity, revenues and expenses and related disclosures. On an ongoing basis, we evaluate our significant estimates. We base our estimates on historical experience and on various other market-specific and other relevant assumptions that we believe to be reasonable under the circumstances, the results of which form the basis for making judgments about the carrying values of assets and liabilities that are not readily apparent from other sources. Actual results could differ materially from those estimates.</w:t>
      </w:r>
    </w:p>
    <w:p>
      <w:pPr>
        <w:pStyle w:val="TextBody"/>
        <w:bidi w:val="0"/>
        <w:spacing w:lineRule="auto" w:line="288" w:before="180" w:after="283"/>
        <w:jc w:val="left"/>
        <w:rPr>
          <w:rFonts w:ascii="sans-serif" w:hAnsi="sans-serif"/>
          <w:b/>
          <w:color w:val="000000"/>
          <w:sz w:val="20"/>
          <w:shd w:fill="FFFFFF" w:val="clear"/>
        </w:rPr>
      </w:pPr>
      <w:r>
        <w:rPr>
          <w:rFonts w:ascii="sans-serif" w:hAnsi="sans-serif"/>
          <w:b/>
          <w:color w:val="000000"/>
          <w:sz w:val="20"/>
          <w:shd w:fill="FFFFFF" w:val="clear"/>
        </w:rPr>
        <w:t>Significant Accounting Policies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There have been no material changes to our significant accounting policies during the six months ended June 30, 2026, as compared to the significant accounting policies disclosed in “Note 1. Organization and Summary of Significant Accounting Policies” of the “Notes to Consolidated Financial Statements” included in Part II, Item 8 of our Fiscal 2025 Form 10-K.</w:t>
      </w:r>
    </w:p>
    <w:p>
      <w:pPr>
        <w:pStyle w:val="TextBody"/>
        <w:bidi w:val="0"/>
        <w:spacing w:lineRule="auto" w:line="288" w:before="180" w:after="283"/>
        <w:jc w:val="left"/>
        <w:rPr>
          <w:rFonts w:ascii="sans-serif" w:hAnsi="sans-serif"/>
          <w:b/>
          <w:color w:val="000000"/>
          <w:sz w:val="20"/>
          <w:shd w:fill="FFFFFF" w:val="clear"/>
        </w:rPr>
      </w:pPr>
      <w:r>
        <w:rPr>
          <w:rFonts w:ascii="sans-serif" w:hAnsi="sans-serif"/>
          <w:b/>
          <w:color w:val="000000"/>
          <w:sz w:val="20"/>
          <w:shd w:fill="FFFFFF" w:val="clear"/>
        </w:rPr>
        <w:t>Recently Adopted Accounting Pronouncements</w:t>
      </w:r>
    </w:p>
    <w:p>
      <w:pPr>
        <w:pStyle w:val="TextBody"/>
        <w:bidi w:val="0"/>
        <w:spacing w:lineRule="auto" w:line="288" w:before="180" w:after="283"/>
        <w:ind w:left="0" w:right="0" w:firstLine="720"/>
        <w:jc w:val="left"/>
        <w:rPr/>
      </w:pPr>
      <w:r>
        <w:rPr>
          <w:rFonts w:ascii="sans-serif" w:hAnsi="sans-serif"/>
          <w:b w:val="false"/>
          <w:color w:val="000000"/>
          <w:sz w:val="20"/>
          <w:shd w:fill="FFFFFF" w:val="clear"/>
        </w:rPr>
        <w:t>There were no new accounting pronouncements adopted by us since our filing of the Fiscal </w:t>
      </w:r>
      <w:r>
        <w:rPr>
          <w:rFonts w:ascii="sans-serif" w:hAnsi="sans-serif"/>
          <w:b w:val="false"/>
          <w:color w:val="000000"/>
          <w:sz w:val="20"/>
        </w:rPr>
        <w:t>2025</w:t>
      </w:r>
      <w:r>
        <w:rPr>
          <w:color w:val="000000"/>
          <w:shd w:fill="FFFFFF" w:val="clear"/>
        </w:rPr>
        <w:t xml:space="preserve"> </w:t>
      </w:r>
      <w:r>
        <w:rPr>
          <w:rFonts w:ascii="sans-serif" w:hAnsi="sans-serif"/>
          <w:b w:val="false"/>
          <w:color w:val="000000"/>
          <w:sz w:val="20"/>
          <w:shd w:fill="FFFFFF" w:val="clear"/>
        </w:rPr>
        <w:t>Form 10-K, which could have a significant effect on our Condensed Consolidated Financial Statements.</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Recent Accounting Pronouncements Not Yet Adopted</w:t>
      </w:r>
    </w:p>
    <w:p>
      <w:pPr>
        <w:pStyle w:val="TextBody"/>
        <w:bidi w:val="0"/>
        <w:spacing w:lineRule="auto" w:line="288" w:before="180" w:after="283"/>
        <w:ind w:left="0" w:right="0" w:firstLine="720"/>
        <w:jc w:val="left"/>
        <w:rPr/>
      </w:pPr>
      <w:r>
        <w:rPr>
          <w:rFonts w:ascii="sans-serif" w:hAnsi="sans-serif"/>
          <w:b w:val="false"/>
          <w:color w:val="000000"/>
          <w:sz w:val="20"/>
        </w:rPr>
        <w:t xml:space="preserve">In November 2024, the Financial Accounting Standards Board (FASB) issued Accounting Standards Update (ASU) 2024-03, </w:t>
      </w:r>
      <w:r>
        <w:rPr>
          <w:rFonts w:ascii="sans-serif" w:hAnsi="sans-serif"/>
          <w:b w:val="false"/>
          <w:i/>
          <w:color w:val="000000"/>
          <w:sz w:val="20"/>
        </w:rPr>
        <w:t>Income Statement – Reporting Comprehensive Income – Expense Disaggregation Disclosures (Subtopic 220-40):</w:t>
      </w:r>
      <w:r>
        <w:rPr>
          <w:color w:val="000000"/>
          <w:shd w:fill="FFFFFF" w:val="clear"/>
        </w:rPr>
        <w:t xml:space="preserve"> </w:t>
      </w:r>
      <w:r>
        <w:rPr>
          <w:rFonts w:ascii="sans-serif" w:hAnsi="sans-serif"/>
          <w:b w:val="false"/>
          <w:i/>
          <w:color w:val="000000"/>
          <w:sz w:val="20"/>
          <w:shd w:fill="FFFFFF" w:val="clear"/>
        </w:rPr>
        <w:t xml:space="preserve">Disaggregation of Income Statement Expenses </w:t>
      </w:r>
      <w:r>
        <w:rPr>
          <w:rFonts w:ascii="sans-serif" w:hAnsi="sans-serif"/>
          <w:b w:val="false"/>
          <w:color w:val="000000"/>
          <w:sz w:val="20"/>
          <w:shd w:fill="FFFFFF" w:val="clear"/>
        </w:rPr>
        <w:t>(ASU 2024-03), which enhances the disclosures required for expense disaggregation in our annual and interim consolidated financial statements. In January 2025, the FASB issued ASU 2025-01,</w:t>
      </w:r>
      <w:r>
        <w:rPr>
          <w:color w:val="000000"/>
          <w:shd w:fill="FFFFFF" w:val="clear"/>
        </w:rPr>
        <w:t xml:space="preserve"> </w:t>
      </w:r>
      <w:r>
        <w:rPr>
          <w:rFonts w:ascii="sans-serif" w:hAnsi="sans-serif"/>
          <w:b w:val="false"/>
          <w:i/>
          <w:color w:val="000000"/>
          <w:sz w:val="20"/>
          <w:shd w:fill="FFFFFF" w:val="clear"/>
        </w:rPr>
        <w:t>Income Statement</w:t>
      </w:r>
      <w:r>
        <w:rPr>
          <w:color w:val="000000"/>
        </w:rPr>
        <w:t xml:space="preserve"> – </w:t>
      </w:r>
      <w:r>
        <w:rPr>
          <w:rFonts w:ascii="sans-serif" w:hAnsi="sans-serif"/>
          <w:b w:val="false"/>
          <w:i/>
          <w:color w:val="000000"/>
          <w:sz w:val="20"/>
          <w:shd w:fill="FFFFFF" w:val="clear"/>
        </w:rPr>
        <w:t>Reporting Comprehensive Income</w:t>
      </w:r>
      <w:r>
        <w:rPr>
          <w:color w:val="000000"/>
        </w:rPr>
        <w:t xml:space="preserve"> – </w:t>
      </w:r>
      <w:r>
        <w:rPr>
          <w:rFonts w:ascii="sans-serif" w:hAnsi="sans-serif"/>
          <w:b w:val="false"/>
          <w:i/>
          <w:color w:val="000000"/>
          <w:sz w:val="20"/>
          <w:shd w:fill="FFFFFF" w:val="clear"/>
        </w:rPr>
        <w:t>Expense Disaggregation Disclosures (Subtopic 220-40) – Clarifying the effective Date</w:t>
      </w:r>
      <w:r>
        <w:rPr>
          <w:color w:val="000000"/>
          <w:shd w:fill="FFFFFF" w:val="clear"/>
        </w:rPr>
        <w:t xml:space="preserve"> </w:t>
      </w:r>
      <w:r>
        <w:rPr>
          <w:rFonts w:ascii="sans-serif" w:hAnsi="sans-serif"/>
          <w:b w:val="false"/>
          <w:color w:val="000000"/>
          <w:sz w:val="20"/>
          <w:shd w:fill="FFFFFF" w:val="clear"/>
        </w:rPr>
        <w:t>(ASU 2025-01), which clarifies the effective date of ASU 2024-03 for companies with a non-calendar year end. ASU 2024-03 is effective for us in our annual reporting for fiscal year 2027, and in our interim periods beginning in fiscal year 2028. Early adoption and retrospective application are permitted. We are currently evaluating the impact of ASU 2024-03 on our Consolidated Financial Statements.</w:t>
      </w:r>
    </w:p>
    <w:p>
      <w:pPr>
        <w:pStyle w:val="TextBody"/>
        <w:bidi w:val="0"/>
        <w:spacing w:lineRule="auto" w:line="288" w:before="180" w:after="283"/>
        <w:ind w:left="0" w:right="0" w:firstLine="720"/>
        <w:jc w:val="left"/>
        <w:rPr/>
      </w:pPr>
      <w:r>
        <w:rPr>
          <w:rFonts w:ascii="sans-serif" w:hAnsi="sans-serif"/>
          <w:b w:val="false"/>
          <w:color w:val="000000"/>
          <w:sz w:val="20"/>
        </w:rPr>
        <w:t xml:space="preserve">In September 2025, the FASB issued ASU 2025-06, </w:t>
      </w:r>
      <w:r>
        <w:rPr>
          <w:rFonts w:ascii="sans-serif" w:hAnsi="sans-serif"/>
          <w:b w:val="false"/>
          <w:i/>
          <w:color w:val="000000"/>
          <w:sz w:val="20"/>
        </w:rPr>
        <w:t>Intangibles – Goodwill and Other – Internal-Use Software (Subtopic 350-40): Targeted Improvements to the Accounting for Internal-Use Softwar</w:t>
      </w:r>
      <w:r>
        <w:rPr>
          <w:rFonts w:ascii="sans-serif" w:hAnsi="sans-serif"/>
          <w:b w:val="false"/>
          <w:color w:val="000000"/>
          <w:sz w:val="20"/>
        </w:rPr>
        <w:t>e (ASU 2025-06)</w:t>
      </w:r>
      <w:r>
        <w:rPr>
          <w:color w:val="000000"/>
        </w:rPr>
        <w:t xml:space="preserve"> </w:t>
      </w:r>
      <w:r>
        <w:rPr>
          <w:rFonts w:ascii="sans-serif" w:hAnsi="sans-serif"/>
          <w:b w:val="false"/>
          <w:color w:val="000000"/>
          <w:sz w:val="20"/>
        </w:rPr>
        <w:t xml:space="preserve">to clarify and modernize the accounting for costs related to internal-use software by removing all references to software development project stages and clarifying the threshold entities apply to begin capitalizing costs. ASU 2025-06 is effective for us in our annual reporting for fiscal year 2028. Early adoption and retrospective reporting are permitted. We do not expect the adoption of ASU 2025-06 to have a material impact on our Consolidated Financial Statements. </w:t>
      </w:r>
    </w:p>
    <w:p>
      <w:pPr>
        <w:pStyle w:val="TextBody"/>
        <w:bidi w:val="0"/>
        <w:spacing w:lineRule="auto" w:line="288" w:before="180" w:after="283"/>
        <w:ind w:left="0" w:right="0" w:firstLine="720"/>
        <w:jc w:val="left"/>
        <w:rPr/>
      </w:pPr>
      <w:r>
        <w:rPr>
          <w:rFonts w:ascii="sans-serif" w:hAnsi="sans-serif"/>
          <w:b w:val="false"/>
          <w:color w:val="000000"/>
          <w:sz w:val="20"/>
        </w:rPr>
        <w:t xml:space="preserve">In December 2025, the FASB issued ASU 2025-11, </w:t>
      </w:r>
      <w:r>
        <w:rPr>
          <w:rFonts w:ascii="sans-serif" w:hAnsi="sans-serif"/>
          <w:b w:val="false"/>
          <w:i/>
          <w:color w:val="000000"/>
          <w:sz w:val="20"/>
        </w:rPr>
        <w:t>Interim Reporting (Topic 270): Narrow-Scope Improvements</w:t>
      </w:r>
      <w:r>
        <w:rPr>
          <w:color w:val="000000"/>
        </w:rPr>
        <w:t xml:space="preserve"> </w:t>
      </w:r>
      <w:r>
        <w:rPr>
          <w:rFonts w:ascii="sans-serif" w:hAnsi="sans-serif"/>
          <w:b w:val="false"/>
          <w:color w:val="000000"/>
          <w:sz w:val="20"/>
        </w:rPr>
        <w:t>(ASU 2025-11), which clarifies the guidance in Topic 270 to improve the consistency of interim financial reporting. ASU 2025-11 provides a comprehensive list of required interim disclosures and introduces a disclosure principle requiring entities to disclose events since the end of the last annual reporting period that have a material impact on the entity. ASU 2025-11 is effective for us in our annual reporting for fiscal year 2028, and in our interim periods beginning in fiscal year 2028. Early adoption and retrospective application are permitted. We do not expect the adoption of ASU 2025-11 to have a material impact on our Consolidated Financial Statements.</w:t>
      </w:r>
    </w:p>
    <w:p>
      <w:pPr>
        <w:pStyle w:val="TextBody"/>
        <w:bidi w:val="0"/>
        <w:spacing w:lineRule="auto" w:line="288" w:before="180" w:after="283"/>
        <w:ind w:left="0" w:right="0" w:firstLine="720"/>
        <w:jc w:val="left"/>
        <w:rPr/>
      </w:pPr>
      <w:r>
        <w:rPr>
          <w:rFonts w:ascii="sans-serif" w:hAnsi="sans-serif"/>
          <w:b w:val="false"/>
          <w:color w:val="000000"/>
          <w:sz w:val="20"/>
        </w:rPr>
        <w:t xml:space="preserve">In December 2025, the FASB issued ASU 2025-12, </w:t>
      </w:r>
      <w:r>
        <w:rPr>
          <w:rFonts w:ascii="sans-serif" w:hAnsi="sans-serif"/>
          <w:b w:val="false"/>
          <w:i/>
          <w:color w:val="000000"/>
          <w:sz w:val="20"/>
        </w:rPr>
        <w:t>Codification Improvements</w:t>
      </w:r>
      <w:r>
        <w:rPr>
          <w:color w:val="000000"/>
        </w:rPr>
        <w:t xml:space="preserve"> </w:t>
      </w:r>
      <w:r>
        <w:rPr>
          <w:rFonts w:ascii="sans-serif" w:hAnsi="sans-serif"/>
          <w:b w:val="false"/>
          <w:color w:val="000000"/>
          <w:sz w:val="20"/>
        </w:rPr>
        <w:t xml:space="preserve">(ASU 2025-12), which addresses thirty-three issues, representing amendments to Accounting Standards Codification (ASC) topics that clarify, correct errors or make minor improvements. ASU 2025-12 makes the ASC topics easier to understand and apply. ASU 2025-12 is effective for us in our annual reporting for fiscal year 2027, and in our interim periods beginning in fiscal year 2027. Early adoption and retrospective application are permitted on an issue-by-issue basis. We are currently evaluating the impact of ASU 2025-12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2255"/>
                <wp:effectExtent l="0" t="0" r="0" b="0"/>
                <wp:wrapNone/>
                <wp:docPr id="10" name="Frame9"/>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2. SEGMENT REPORTING</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We operate in one business segment that focuses on the discovery, development and commercialization of new medicines for difficult-to-treat cancers. Our President and Chief Executive Officer, as the chief operating decision-maker, manages and allocates resources to our operations on a total consolidated basis. Consistent with this decision-making process, our President and Chief Executive Officer uses net income to monitor budget versus actual results for purposes of evaluating performance and to make decisions about the allocation of resources.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Our significant segment expenses that are regularly provided to our President and Chief Executive Officer and included in the measure of segment net income consist of consolidated expenses for our operational departments: drug discovery, development, and selling, general and administrative and other segment items.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segment and consolidated net income, including significant segment expenses were as follows (in thousands):</w:t>
      </w:r>
    </w:p>
    <w:tbl>
      <w:tblPr>
        <w:tblW w:w="10205" w:type="dxa"/>
        <w:jc w:val="center"/>
        <w:tblInd w:w="0" w:type="dxa"/>
        <w:tblLayout w:type="fixed"/>
        <w:tblCellMar>
          <w:top w:w="28" w:type="dxa"/>
          <w:left w:w="28" w:type="dxa"/>
          <w:bottom w:w="28" w:type="dxa"/>
          <w:right w:w="28" w:type="dxa"/>
        </w:tblCellMar>
      </w:tblPr>
      <w:tblGrid>
        <w:gridCol w:w="1291"/>
        <w:gridCol w:w="1120"/>
        <w:gridCol w:w="1101"/>
        <w:gridCol w:w="239"/>
        <w:gridCol w:w="1006"/>
        <w:gridCol w:w="115"/>
        <w:gridCol w:w="115"/>
        <w:gridCol w:w="115"/>
        <w:gridCol w:w="115"/>
        <w:gridCol w:w="239"/>
        <w:gridCol w:w="1006"/>
        <w:gridCol w:w="115"/>
        <w:gridCol w:w="109"/>
        <w:gridCol w:w="109"/>
        <w:gridCol w:w="109"/>
        <w:gridCol w:w="226"/>
        <w:gridCol w:w="1126"/>
        <w:gridCol w:w="109"/>
        <w:gridCol w:w="109"/>
        <w:gridCol w:w="109"/>
        <w:gridCol w:w="109"/>
        <w:gridCol w:w="226"/>
        <w:gridCol w:w="1126"/>
        <w:gridCol w:w="161"/>
      </w:tblGrid>
      <w:tr>
        <w:trPr/>
        <w:tc>
          <w:tcPr>
            <w:tcW w:w="129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Revenues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628,690 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568,261 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1,239,502 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1,123,708 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Less:</w:t>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goods sold</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19,470 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38,642 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Drug discovery</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18,252 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Development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150,522 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134,159 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286,237 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287,376 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127,413 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112,931 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233,706 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Other segment items</w:t>
            </w:r>
            <w:r>
              <w:rPr>
                <w:rFonts w:ascii="sans-serif" w:hAnsi="sans-serif"/>
                <w:b w:val="false"/>
                <w:color w:val="000000"/>
                <w:sz w:val="13"/>
              </w:rPr>
              <w:t>(1)</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63,378 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66,718 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124,134 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(14,210)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(16,789)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(35,865)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Provision for income taxes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50,628 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45,567 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Segment and consolidated net income</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212,050 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184,848 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422,517 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344,464 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
        <w:jc w:val="left"/>
        <w:rPr>
          <w:rFonts w:ascii="sans-serif" w:hAnsi="sans-serif"/>
          <w:b w:val="false"/>
          <w:color w:val="000000"/>
          <w:sz w:val="18"/>
        </w:rPr>
      </w:pPr>
      <w:r>
        <w:rPr>
          <w:rFonts w:ascii="sans-serif" w:hAnsi="sans-serif"/>
          <w:b w:val="false"/>
          <w:color w:val="000000"/>
          <w:sz w:val="18"/>
        </w:rPr>
        <w:t>_________________</w:t>
      </w:r>
    </w:p>
    <w:p>
      <w:pPr>
        <w:pStyle w:val="TextBody"/>
        <w:bidi w:val="0"/>
        <w:spacing w:lineRule="auto" w:line="288" w:before="0" w:after="0"/>
        <w:ind w:left="0" w:right="0" w:hanging="144"/>
        <w:jc w:val="left"/>
        <w:rPr/>
      </w:pPr>
      <w:r>
        <w:rPr>
          <w:rFonts w:ascii="sans-serif" w:hAnsi="sans-serif"/>
          <w:b w:val="false"/>
          <w:color w:val="000000"/>
          <w:sz w:val="12"/>
        </w:rPr>
        <w:t xml:space="preserve">(1) </w:t>
      </w:r>
      <w:r>
        <w:rPr>
          <w:rFonts w:ascii="sans-serif" w:hAnsi="sans-serif"/>
          <w:b w:val="false"/>
          <w:color w:val="000000"/>
          <w:sz w:val="18"/>
        </w:rPr>
        <w:t>Other segment items include stock-based compensation, other research and development expenses, including the allocation of general corporate costs to research and development services and development cost reimbursements in connection with certain of our collaboration arrangements, and other income (expenses), net.</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All of our long-lived assets are located in the U.S. See “Note 3. Revenues” for enterprise-wide disclosures about product sales, revenues from major customers and revenues by geographic region.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3. REVENUES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Revenues consisted of the following (in thousands):</w:t>
      </w:r>
    </w:p>
    <w:tbl>
      <w:tblPr>
        <w:tblW w:w="9978" w:type="dxa"/>
        <w:jc w:val="center"/>
        <w:tblInd w:w="0" w:type="dxa"/>
        <w:tblLayout w:type="fixed"/>
        <w:tblCellMar>
          <w:top w:w="28" w:type="dxa"/>
          <w:left w:w="28" w:type="dxa"/>
          <w:bottom w:w="28" w:type="dxa"/>
          <w:right w:w="28" w:type="dxa"/>
        </w:tblCellMar>
      </w:tblPr>
      <w:tblGrid>
        <w:gridCol w:w="1179"/>
        <w:gridCol w:w="1037"/>
        <w:gridCol w:w="1038"/>
        <w:gridCol w:w="242"/>
        <w:gridCol w:w="1017"/>
        <w:gridCol w:w="117"/>
        <w:gridCol w:w="117"/>
        <w:gridCol w:w="117"/>
        <w:gridCol w:w="117"/>
        <w:gridCol w:w="242"/>
        <w:gridCol w:w="1017"/>
        <w:gridCol w:w="117"/>
        <w:gridCol w:w="109"/>
        <w:gridCol w:w="109"/>
        <w:gridCol w:w="109"/>
        <w:gridCol w:w="226"/>
        <w:gridCol w:w="1126"/>
        <w:gridCol w:w="109"/>
        <w:gridCol w:w="109"/>
        <w:gridCol w:w="109"/>
        <w:gridCol w:w="109"/>
        <w:gridCol w:w="226"/>
        <w:gridCol w:w="112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Product revenues:</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Gross product revenues</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812,782 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745,280 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1,608,136 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1,466,991 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Discounts and allowances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(239,757)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(225,266)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(480,134)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(433,694)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product revenues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573,025 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520,014 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1,128,002 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1,033,297 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Collaboration revenues:</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License revenues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59,810 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49,301 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Collaboration services revenues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(1,054)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Collaboration revenues</w:t>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55,665 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48,247 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revenues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628,690 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568,261 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1,239,502 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1,123,708 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2255"/>
                <wp:effectExtent l="0" t="0" r="0" b="0"/>
                <wp:wrapNone/>
                <wp:docPr id="11" name="Frame10"/>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percentage of total revenues by customer who individually accounted for 10% or more of our total revenues were as follows:</w:t>
      </w:r>
    </w:p>
    <w:tbl>
      <w:tblPr>
        <w:tblW w:w="10205" w:type="dxa"/>
        <w:jc w:val="left"/>
        <w:tblInd w:w="0" w:type="dxa"/>
        <w:tblLayout w:type="fixed"/>
        <w:tblCellMar>
          <w:top w:w="28" w:type="dxa"/>
          <w:left w:w="28" w:type="dxa"/>
          <w:bottom w:w="28" w:type="dxa"/>
          <w:right w:w="28" w:type="dxa"/>
        </w:tblCellMar>
      </w:tblPr>
      <w:tblGrid>
        <w:gridCol w:w="1425"/>
        <w:gridCol w:w="1249"/>
        <w:gridCol w:w="1255"/>
        <w:gridCol w:w="252"/>
        <w:gridCol w:w="251"/>
        <w:gridCol w:w="660"/>
        <w:gridCol w:w="251"/>
        <w:gridCol w:w="251"/>
        <w:gridCol w:w="251"/>
        <w:gridCol w:w="252"/>
        <w:gridCol w:w="251"/>
        <w:gridCol w:w="660"/>
        <w:gridCol w:w="109"/>
        <w:gridCol w:w="109"/>
        <w:gridCol w:w="109"/>
        <w:gridCol w:w="227"/>
        <w:gridCol w:w="225"/>
        <w:gridCol w:w="593"/>
        <w:gridCol w:w="225"/>
        <w:gridCol w:w="225"/>
        <w:gridCol w:w="225"/>
        <w:gridCol w:w="227"/>
        <w:gridCol w:w="225"/>
        <w:gridCol w:w="698"/>
      </w:tblGrid>
      <w:tr>
        <w:trPr/>
        <w:tc>
          <w:tcPr>
            <w:tcW w:w="142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Affiliates of McKesson Corporation</w:t>
            </w:r>
          </w:p>
        </w:tc>
        <w:tc>
          <w:tcPr>
            <w:tcW w:w="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Affiliates of Cencora, Inc.</w:t>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w:t>
            </w:r>
          </w:p>
        </w:tc>
        <w:tc>
          <w:tcPr>
            <w:tcW w:w="5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Affiliates of CVS Health Corporation</w:t>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6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Accredo Health Group, Inc.</w:t>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w:t>
            </w:r>
          </w:p>
        </w:tc>
        <w:tc>
          <w:tcPr>
            <w:tcW w:w="6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Cardinal Health, Inc.</w:t>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Affiliates of Optum Specialty Pharmacy</w:t>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w:t>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sans-serif" w:hAnsi="sans-serif"/>
          <w:b w:val="false"/>
          <w:color w:val="000000"/>
          <w:sz w:val="18"/>
        </w:rPr>
      </w:pPr>
      <w:r>
        <w:rPr>
          <w:rFonts w:ascii="sans-serif" w:hAnsi="sans-serif"/>
          <w:b w:val="false"/>
          <w:color w:val="000000"/>
          <w:sz w:val="18"/>
        </w:rPr>
        <w:t>___________________</w:t>
      </w:r>
    </w:p>
    <w:p>
      <w:pPr>
        <w:pStyle w:val="TextBody"/>
        <w:bidi w:val="0"/>
        <w:spacing w:lineRule="auto" w:line="288" w:before="0" w:after="0"/>
        <w:ind w:left="0" w:right="0" w:hanging="144"/>
        <w:jc w:val="left"/>
        <w:rPr/>
      </w:pPr>
      <w:r>
        <w:rPr>
          <w:rFonts w:ascii="sans-serif" w:hAnsi="sans-serif"/>
          <w:b w:val="false"/>
          <w:color w:val="000000"/>
          <w:sz w:val="12"/>
        </w:rPr>
        <w:t xml:space="preserve">(*) </w:t>
      </w:r>
      <w:r>
        <w:rPr>
          <w:rFonts w:ascii="sans-serif" w:hAnsi="sans-serif"/>
          <w:b w:val="false"/>
          <w:color w:val="000000"/>
          <w:sz w:val="18"/>
        </w:rPr>
        <w:t>Represents less than 10% of our total revenues in the applicable period.</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percentage of trade receivables by customer who individually accounted for 10% or more of our trade receivables were as follows:</w:t>
      </w:r>
    </w:p>
    <w:tbl>
      <w:tblPr>
        <w:tblW w:w="7496" w:type="dxa"/>
        <w:jc w:val="left"/>
        <w:tblInd w:w="0" w:type="dxa"/>
        <w:tblLayout w:type="fixed"/>
        <w:tblCellMar>
          <w:top w:w="28" w:type="dxa"/>
          <w:left w:w="28" w:type="dxa"/>
          <w:bottom w:w="28" w:type="dxa"/>
          <w:right w:w="28" w:type="dxa"/>
        </w:tblCellMar>
      </w:tblPr>
      <w:tblGrid>
        <w:gridCol w:w="1305"/>
        <w:gridCol w:w="1144"/>
        <w:gridCol w:w="1150"/>
        <w:gridCol w:w="317"/>
        <w:gridCol w:w="317"/>
        <w:gridCol w:w="836"/>
        <w:gridCol w:w="109"/>
        <w:gridCol w:w="109"/>
        <w:gridCol w:w="109"/>
        <w:gridCol w:w="416"/>
        <w:gridCol w:w="416"/>
        <w:gridCol w:w="1268"/>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Affiliates of McKesson Corporation</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Affiliates of Cencora, Inc.</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w:t>
            </w:r>
          </w:p>
        </w:tc>
        <w:tc>
          <w:tcPr>
            <w:tcW w:w="1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Ipsen Pharma SAS</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w:t>
            </w:r>
          </w:p>
        </w:tc>
        <w:tc>
          <w:tcPr>
            <w:tcW w:w="1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Affiliates of CVS Health Corporation</w:t>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w:t>
            </w:r>
          </w:p>
        </w:tc>
        <w:tc>
          <w:tcPr>
            <w:tcW w:w="1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Cardinal Health, Inc.</w:t>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w:t>
            </w:r>
          </w:p>
        </w:tc>
        <w:tc>
          <w:tcPr>
            <w:tcW w:w="126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Total revenues by geographic region were as follows (in thousands):</w:t>
      </w:r>
    </w:p>
    <w:tbl>
      <w:tblPr>
        <w:tblW w:w="8298" w:type="dxa"/>
        <w:jc w:val="left"/>
        <w:tblInd w:w="0" w:type="dxa"/>
        <w:tblLayout w:type="fixed"/>
        <w:tblCellMar>
          <w:top w:w="28" w:type="dxa"/>
          <w:left w:w="28" w:type="dxa"/>
          <w:bottom w:w="28" w:type="dxa"/>
          <w:right w:w="28" w:type="dxa"/>
        </w:tblCellMar>
      </w:tblPr>
      <w:tblGrid>
        <w:gridCol w:w="569"/>
        <w:gridCol w:w="498"/>
        <w:gridCol w:w="507"/>
        <w:gridCol w:w="242"/>
        <w:gridCol w:w="1017"/>
        <w:gridCol w:w="117"/>
        <w:gridCol w:w="117"/>
        <w:gridCol w:w="117"/>
        <w:gridCol w:w="117"/>
        <w:gridCol w:w="242"/>
        <w:gridCol w:w="1017"/>
        <w:gridCol w:w="117"/>
        <w:gridCol w:w="109"/>
        <w:gridCol w:w="109"/>
        <w:gridCol w:w="109"/>
        <w:gridCol w:w="226"/>
        <w:gridCol w:w="1126"/>
        <w:gridCol w:w="109"/>
        <w:gridCol w:w="109"/>
        <w:gridCol w:w="109"/>
        <w:gridCol w:w="109"/>
        <w:gridCol w:w="226"/>
        <w:gridCol w:w="1126"/>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578,361 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524,768 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1,136,907 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1,041,952 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Europe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46,007 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37,033 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Japan</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revenues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628,690 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568,261 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1,239,502 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1,123,708 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Total revenues include net product revenues attributed to geographic regions based on the ship-to location and license and collaboration services revenues attributed to geographic regions based on the location of our collaboration partners’ headquarters.</w:t>
      </w:r>
    </w:p>
    <w:p>
      <w:pPr>
        <w:pStyle w:val="TextBody"/>
        <w:bidi w:val="0"/>
        <w:spacing w:lineRule="auto" w:line="288" w:before="180" w:after="283"/>
        <w:ind w:left="0" w:right="0" w:firstLine="720"/>
        <w:jc w:val="left"/>
        <w:rPr/>
      </w:pPr>
      <w:r>
        <w:rPr>
          <w:rFonts w:ascii="sans-serif" w:hAnsi="sans-serif"/>
          <w:b w:val="false"/>
          <w:color w:val="000000"/>
          <w:sz w:val="20"/>
        </w:rPr>
        <w:t xml:space="preserve">Net product revenues and license revenues are recorded in accordance with ASC Topic 606, </w:t>
      </w:r>
      <w:r>
        <w:rPr>
          <w:rFonts w:ascii="sans-serif" w:hAnsi="sans-serif"/>
          <w:b w:val="false"/>
          <w:i/>
          <w:color w:val="000000"/>
          <w:sz w:val="20"/>
        </w:rPr>
        <w:t>Revenue from Contracts with Customers</w:t>
      </w:r>
      <w:r>
        <w:rPr>
          <w:color w:val="000000"/>
        </w:rPr>
        <w:t xml:space="preserve"> </w:t>
      </w:r>
      <w:r>
        <w:rPr>
          <w:rFonts w:ascii="sans-serif" w:hAnsi="sans-serif"/>
          <w:b w:val="false"/>
          <w:color w:val="000000"/>
          <w:sz w:val="20"/>
        </w:rPr>
        <w:t xml:space="preserve">(Topic 606). License revenues include the recognition of the portion of milestone payments allocated to the transfer of intellectual property licenses for which it had become probable in the current period that the milestone would be achieved and a significant reversal of revenues would not occur, as well as royalty revenues and our share of profits under our collaboration agreement with Genentech. Collaboration services revenues are recorded in accordance with ASC Topic 808, </w:t>
      </w:r>
      <w:r>
        <w:rPr>
          <w:rFonts w:ascii="sans-serif" w:hAnsi="sans-serif"/>
          <w:b w:val="false"/>
          <w:i/>
          <w:color w:val="000000"/>
          <w:sz w:val="20"/>
        </w:rPr>
        <w:t>Collaborative Arrangements.</w:t>
      </w:r>
      <w:r>
        <w:rPr>
          <w:color w:val="000000"/>
        </w:rPr>
        <w:t xml:space="preserve"> </w:t>
      </w:r>
      <w:r>
        <w:rPr>
          <w:rFonts w:ascii="sans-serif" w:hAnsi="sans-serif"/>
          <w:b w:val="false"/>
          <w:color w:val="000000"/>
          <w:sz w:val="20"/>
        </w:rPr>
        <w:t>Collaboration services revenues include the recognition of deferred revenues for the portion of upfront and milestone payments allocated to our research and development services performance obligations, development cost reimbursements earned under our collaboration agreements, product supply revenues, net of product supply costs and the royalties we paid on sales of products containing cabozantinib by our collaboration partners. License revenues and collaboration services revenues are presented in collaboration revenues in the accompanying Condensed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62255"/>
                <wp:effectExtent l="0" t="0" r="0" b="0"/>
                <wp:wrapNone/>
                <wp:docPr id="12" name="Frame11"/>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Net product revenues by product were as follows (in thousands):</w:t>
      </w:r>
    </w:p>
    <w:tbl>
      <w:tblPr>
        <w:tblW w:w="8943" w:type="dxa"/>
        <w:jc w:val="center"/>
        <w:tblInd w:w="0" w:type="dxa"/>
        <w:tblLayout w:type="fixed"/>
        <w:tblCellMar>
          <w:top w:w="28" w:type="dxa"/>
          <w:left w:w="28" w:type="dxa"/>
          <w:bottom w:w="28" w:type="dxa"/>
          <w:right w:w="28" w:type="dxa"/>
        </w:tblCellMar>
      </w:tblPr>
      <w:tblGrid>
        <w:gridCol w:w="804"/>
        <w:gridCol w:w="706"/>
        <w:gridCol w:w="709"/>
        <w:gridCol w:w="242"/>
        <w:gridCol w:w="1017"/>
        <w:gridCol w:w="117"/>
        <w:gridCol w:w="117"/>
        <w:gridCol w:w="117"/>
        <w:gridCol w:w="117"/>
        <w:gridCol w:w="242"/>
        <w:gridCol w:w="1017"/>
        <w:gridCol w:w="117"/>
        <w:gridCol w:w="109"/>
        <w:gridCol w:w="109"/>
        <w:gridCol w:w="109"/>
        <w:gridCol w:w="226"/>
        <w:gridCol w:w="1126"/>
        <w:gridCol w:w="109"/>
        <w:gridCol w:w="109"/>
        <w:gridCol w:w="109"/>
        <w:gridCol w:w="109"/>
        <w:gridCol w:w="226"/>
        <w:gridCol w:w="112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CABOMETYX</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570,648 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517,890 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1,028,762 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COMETRIQ </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product revenues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573,025 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520,014 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1,128,002 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1,033,297 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Product Sales Discounts and Allowances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activities and ending reserve balances for each significant category of discounts and allowances (which constitute variable consideration) were as follows (in thousands):</w:t>
      </w:r>
    </w:p>
    <w:tbl>
      <w:tblPr>
        <w:tblW w:w="10205" w:type="dxa"/>
        <w:jc w:val="center"/>
        <w:tblInd w:w="0" w:type="dxa"/>
        <w:tblLayout w:type="fixed"/>
        <w:tblCellMar>
          <w:top w:w="28" w:type="dxa"/>
          <w:left w:w="28" w:type="dxa"/>
          <w:bottom w:w="28" w:type="dxa"/>
          <w:right w:w="28" w:type="dxa"/>
        </w:tblCellMar>
      </w:tblPr>
      <w:tblGrid>
        <w:gridCol w:w="752"/>
        <w:gridCol w:w="661"/>
        <w:gridCol w:w="664"/>
        <w:gridCol w:w="497"/>
        <w:gridCol w:w="1817"/>
        <w:gridCol w:w="241"/>
        <w:gridCol w:w="109"/>
        <w:gridCol w:w="109"/>
        <w:gridCol w:w="109"/>
        <w:gridCol w:w="431"/>
        <w:gridCol w:w="1580"/>
        <w:gridCol w:w="211"/>
        <w:gridCol w:w="109"/>
        <w:gridCol w:w="109"/>
        <w:gridCol w:w="109"/>
        <w:gridCol w:w="226"/>
        <w:gridCol w:w="826"/>
        <w:gridCol w:w="109"/>
        <w:gridCol w:w="109"/>
        <w:gridCol w:w="109"/>
        <w:gridCol w:w="109"/>
        <w:gridCol w:w="226"/>
        <w:gridCol w:w="826"/>
        <w:gridCol w:w="157"/>
      </w:tblGrid>
      <w:tr>
        <w:trPr/>
        <w:tc>
          <w:tcPr>
            <w:tcW w:w="7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Chargebacks, Discounts for Prompt Payment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Other Customer Credits/Fees and Co-pay Assistance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Total</w:t>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Balance at December 31, 2025</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34,223 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23,612 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94,119 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Provision related to sales made in:</w:t>
            </w:r>
          </w:p>
        </w:tc>
        <w:tc>
          <w:tcPr>
            <w:tcW w:w="2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period</w:t>
            </w:r>
          </w:p>
        </w:tc>
        <w:tc>
          <w:tcPr>
            <w:tcW w:w="2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316,366 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37,604 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126,249 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480,219 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Prior periods</w:t>
            </w:r>
          </w:p>
        </w:tc>
        <w:tc>
          <w:tcPr>
            <w:tcW w:w="2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Payments and customer credits issued</w:t>
            </w:r>
          </w:p>
        </w:tc>
        <w:tc>
          <w:tcPr>
            <w:tcW w:w="2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(318,885)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(39,750)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(475,336)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Balance at June 30, 2026</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32,206 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21,064 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98,917 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allowance for chargebacks, discounts for prompt payment and other are recorded as a reduction of trade receivables, net, and the remaining reserves are recorded as rebates and fees due to customers in the accompanying Condensed Consolidated Balance Sheets.</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Contract Assets and Liabilities</w:t>
      </w:r>
    </w:p>
    <w:p>
      <w:pPr>
        <w:pStyle w:val="TextBody"/>
        <w:bidi w:val="0"/>
        <w:spacing w:lineRule="auto" w:line="288" w:before="180" w:after="283"/>
        <w:ind w:left="0" w:right="0" w:firstLine="720"/>
        <w:jc w:val="left"/>
        <w:rPr/>
      </w:pPr>
      <w:r>
        <w:rPr>
          <w:rFonts w:ascii="sans-serif" w:hAnsi="sans-serif"/>
          <w:b w:val="false"/>
          <w:color w:val="000000"/>
          <w:sz w:val="20"/>
        </w:rPr>
        <w:t xml:space="preserve">We receive payments from our collaboration partners based on billing schedules established in each contract. Amounts are recorded as accounts receivable when our right to consideration is unconditional. We may also recognize revenue in advance of the contractual billing schedule and such amounts are recorded as a contract asset when recognized. We may be required to defer recognition of revenue for upfront and milestone payments until we perform our obligations under these arrangements, and such amounts are recorded as deferred revenue upon receipt or when due. For those contracts that have multiple performance obligations, contract assets and liabilities are reported on a net basis at the contract level. There were no contract assets as of June 30, 2026 and December 31, 2025. </w:t>
      </w:r>
      <w:r>
        <w:rPr>
          <w:rFonts w:ascii="sans-serif" w:hAnsi="sans-serif"/>
          <w:b w:val="false"/>
          <w:color w:val="000000"/>
          <w:sz w:val="20"/>
          <w:shd w:fill="FFFFFF" w:val="clear"/>
        </w:rPr>
        <w:t>Contract liabilities are primarily related to deferred revenues from Ipsen Pharma SAS (Ipsen) and Takeda Pharmaceutical Company Limited (Takeda).</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Contract liabilities were as follows (in thousands):</w:t>
      </w:r>
    </w:p>
    <w:tbl>
      <w:tblPr>
        <w:tblW w:w="6325" w:type="dxa"/>
        <w:jc w:val="left"/>
        <w:tblInd w:w="0" w:type="dxa"/>
        <w:tblLayout w:type="fixed"/>
        <w:tblCellMar>
          <w:top w:w="28" w:type="dxa"/>
          <w:left w:w="28" w:type="dxa"/>
          <w:bottom w:w="28" w:type="dxa"/>
          <w:right w:w="28" w:type="dxa"/>
        </w:tblCellMar>
      </w:tblPr>
      <w:tblGrid>
        <w:gridCol w:w="881"/>
        <w:gridCol w:w="773"/>
        <w:gridCol w:w="775"/>
        <w:gridCol w:w="319"/>
        <w:gridCol w:w="997"/>
        <w:gridCol w:w="154"/>
        <w:gridCol w:w="109"/>
        <w:gridCol w:w="109"/>
        <w:gridCol w:w="109"/>
        <w:gridCol w:w="435"/>
        <w:gridCol w:w="1365"/>
        <w:gridCol w:w="299"/>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Contract liabilities:</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Current portion</w:t>
            </w:r>
            <w:r>
              <w:rPr>
                <w:rFonts w:ascii="sans-serif" w:hAnsi="sans-serif"/>
                <w:b w:val="false"/>
                <w:color w:val="000000"/>
                <w:sz w:val="13"/>
              </w:rPr>
              <w:t>(1)</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Non-current portion</w:t>
            </w:r>
            <w:r>
              <w:rPr>
                <w:rFonts w:ascii="sans-serif" w:hAnsi="sans-serif"/>
                <w:b w:val="false"/>
                <w:color w:val="000000"/>
                <w:sz w:val="13"/>
              </w:rPr>
              <w:t>(2)</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6,112 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contract liabilities</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7,227 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
        <w:jc w:val="left"/>
        <w:rPr>
          <w:rFonts w:ascii="sans-serif" w:hAnsi="sans-serif"/>
          <w:b w:val="false"/>
          <w:color w:val="000000"/>
          <w:sz w:val="18"/>
        </w:rPr>
      </w:pPr>
      <w:r>
        <w:rPr>
          <w:rFonts w:ascii="sans-serif" w:hAnsi="sans-serif"/>
          <w:b w:val="false"/>
          <w:color w:val="000000"/>
          <w:sz w:val="18"/>
        </w:rPr>
        <w:t>____________________</w:t>
      </w:r>
    </w:p>
    <w:p>
      <w:pPr>
        <w:pStyle w:val="TextBody"/>
        <w:bidi w:val="0"/>
        <w:spacing w:lineRule="auto" w:line="288" w:before="0" w:after="0"/>
        <w:ind w:left="0" w:right="0" w:hanging="144"/>
        <w:jc w:val="left"/>
        <w:rPr/>
      </w:pPr>
      <w:r>
        <w:rPr>
          <w:rFonts w:ascii="sans-serif" w:hAnsi="sans-serif"/>
          <w:b w:val="false"/>
          <w:color w:val="000000"/>
          <w:sz w:val="12"/>
        </w:rPr>
        <w:t xml:space="preserve">(1) </w:t>
      </w:r>
      <w:r>
        <w:rPr>
          <w:rFonts w:ascii="sans-serif" w:hAnsi="sans-serif"/>
          <w:b w:val="false"/>
          <w:color w:val="000000"/>
          <w:sz w:val="18"/>
        </w:rPr>
        <w:t>Presented in other current liabilities in the accompanying Condensed Consolidated Balance Sheets.</w:t>
      </w:r>
    </w:p>
    <w:p>
      <w:pPr>
        <w:pStyle w:val="TextBody"/>
        <w:bidi w:val="0"/>
        <w:spacing w:lineRule="auto" w:line="288" w:before="0" w:after="0"/>
        <w:ind w:left="0" w:right="0" w:hanging="144"/>
        <w:jc w:val="left"/>
        <w:rPr/>
      </w:pPr>
      <w:r>
        <w:rPr>
          <w:rFonts w:ascii="sans-serif" w:hAnsi="sans-serif"/>
          <w:b w:val="false"/>
          <w:color w:val="000000"/>
          <w:sz w:val="12"/>
        </w:rPr>
        <w:t xml:space="preserve">(2) </w:t>
      </w:r>
      <w:r>
        <w:rPr>
          <w:rFonts w:ascii="sans-serif" w:hAnsi="sans-serif"/>
          <w:b w:val="false"/>
          <w:color w:val="000000"/>
          <w:sz w:val="18"/>
        </w:rPr>
        <w:t>Presented in other non-current liabilities in the accompanying Condensed Consolidated Balance Sheets.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During the three and six months ended June 30, 2026, we recognized $1.0 million and $2.1 million, respectively, in revenues that were included in the beginning deferred revenues balance for those periods, as compared to $1.2 million and $2.4 million, respectively, for the corresponding prior year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2255"/>
                <wp:effectExtent l="0" t="0" r="0" b="0"/>
                <wp:wrapNone/>
                <wp:docPr id="13" name="Frame12"/>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During the three and six months ended June 30, 2026, we recognized $59.9 million and $119.8 million, respectively, in revenues for performance obligations satisfied in previous periods, as compared to $51.2 million and $93.7 million, respectively, for the corresponding prior year periods. Such revenues were primarily related to royalty payments allocated to our license performance obligations for our collaborations with Ipsen and Takeda and the recognition of revenues for the achievement of milestones, including a commercial milestone achieved during the first quarter of 2026.</w:t>
      </w:r>
    </w:p>
    <w:p>
      <w:pPr>
        <w:pStyle w:val="TextBody"/>
        <w:bidi w:val="0"/>
        <w:spacing w:lineRule="auto" w:line="288" w:before="180" w:after="283"/>
        <w:ind w:left="0" w:right="0" w:firstLine="720"/>
        <w:jc w:val="left"/>
        <w:rPr/>
      </w:pPr>
      <w:r>
        <w:rPr>
          <w:rFonts w:ascii="sans-serif" w:hAnsi="sans-serif"/>
          <w:b w:val="false"/>
          <w:color w:val="000000"/>
          <w:sz w:val="20"/>
        </w:rPr>
        <w:t xml:space="preserve">As of </w:t>
      </w:r>
      <w:r>
        <w:rPr>
          <w:rFonts w:ascii="sans-serif" w:hAnsi="sans-serif"/>
          <w:b w:val="false"/>
          <w:color w:val="000000"/>
          <w:sz w:val="20"/>
          <w:shd w:fill="FFFFFF" w:val="clear"/>
        </w:rPr>
        <w:t xml:space="preserve">June 30, 2026, </w:t>
      </w:r>
      <w:r>
        <w:rPr>
          <w:rFonts w:ascii="sans-serif" w:hAnsi="sans-serif"/>
          <w:b w:val="false"/>
          <w:color w:val="000000"/>
          <w:sz w:val="20"/>
        </w:rPr>
        <w:t xml:space="preserve">$17.8 million </w:t>
      </w:r>
      <w:r>
        <w:rPr>
          <w:rFonts w:ascii="sans-serif" w:hAnsi="sans-serif"/>
          <w:b w:val="false"/>
          <w:color w:val="000000"/>
          <w:sz w:val="20"/>
          <w:shd w:fill="FFFFFF" w:val="clear"/>
        </w:rPr>
        <w:t>of t</w:t>
      </w:r>
      <w:r>
        <w:rPr>
          <w:rFonts w:ascii="sans-serif" w:hAnsi="sans-serif"/>
          <w:b w:val="false"/>
          <w:color w:val="000000"/>
          <w:sz w:val="20"/>
        </w:rPr>
        <w:t>he co</w:t>
      </w:r>
      <w:r>
        <w:rPr>
          <w:rFonts w:ascii="sans-serif" w:hAnsi="sans-serif"/>
          <w:b w:val="false"/>
          <w:color w:val="000000"/>
          <w:sz w:val="20"/>
          <w:shd w:fill="FFFFFF" w:val="clear"/>
        </w:rPr>
        <w:t>mbined transaction prices for our Ipsen a</w:t>
      </w:r>
      <w:r>
        <w:rPr>
          <w:rFonts w:ascii="sans-serif" w:hAnsi="sans-serif"/>
          <w:b w:val="false"/>
          <w:color w:val="000000"/>
          <w:sz w:val="20"/>
        </w:rPr>
        <w:t>nd Takeda collaborations were allocated to research and development services performance obligations that had not yet been satisfied. See “Note 4. Collaboration Agreements and Business Development Activities” of the “Notes to Consolidated Financial Statements” included in Part II, Item 8 of our Fiscal 2025 Form 10-K for additional information about the expected timing to satisfy these performance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4. COLLABORATION AGREEMENTS AND BUSINESS DEVELOPMENT ACTIVITIES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have established multiple collaborations with leading biopharmaceutical companies for the commercialization and further development of our cabozantinib franchise. Additionally, we have made considerable progress under our existing research collaboration and in-licensing arrangements to further enhance our early-stage pipeline and expand our ability to discover, develop and commercialize novel therapies with the goal of providing new treatment options for cancer patients. Historically, we also entered into other collaborations with leading biopharmaceutical companies pursuant to which we out-licensed other compounds and programs in our portfolio.</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See “Note 4. Collaboration Agreements and Business Development Activities” of the “Notes to Consolidated Financial Statements” included in Part II, Item 8 of our Fiscal 2025 Form 10-K for additional information on certain of our collaboration agreements and in-licensing arrangements.</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Cabozantinib Commercial Collaborations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Ipsen Collaboration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February 2016, we entered into a collaboration and license agreement with Ipsen for the commercialization and further development of cabozantinib, which was subsequently amended and restated to, among other things, modify the amount of reimbursements we receive for costs associated with pharmacovigilance activities. The parties’ efforts are governed through a joint steering committee and appropriate subcommittees established to guide and oversee the collaboration’s operation and strategic direction; provided, however, that we retain final decision-making authority with respect to cabozantinib’s ongoing development.</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Revenues under the collaboration agreement with Ipsen were as follows (in thousands):</w:t>
      </w:r>
    </w:p>
    <w:tbl>
      <w:tblPr>
        <w:tblW w:w="9556" w:type="dxa"/>
        <w:jc w:val="center"/>
        <w:tblInd w:w="0" w:type="dxa"/>
        <w:tblLayout w:type="fixed"/>
        <w:tblCellMar>
          <w:top w:w="28" w:type="dxa"/>
          <w:left w:w="28" w:type="dxa"/>
          <w:bottom w:w="28" w:type="dxa"/>
          <w:right w:w="28" w:type="dxa"/>
        </w:tblCellMar>
      </w:tblPr>
      <w:tblGrid>
        <w:gridCol w:w="1180"/>
        <w:gridCol w:w="1036"/>
        <w:gridCol w:w="1038"/>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License 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50,539 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39,540 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94,071 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73,519 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Collaboration services revenues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(4,532)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(3,780)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collaboration revenues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46,007 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37,033 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85,575 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69,739 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Takeda Collaboration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January 2017, we entered into a collaboration and license agreement with Takeda, which was subsequently amended, to, among other things, modify the amount of reimbursements we receive for costs associated with our required pharmacovigilance activities and milestones we are eligible to receive, as well as modify certain cost-sharing obligations related to the Japan-specific development costs associated with certain studies for the commercialization and further development of cabozantinib and also grant Exelixis the right to develop and commercialize a competing product in Japan and modify certain costs sharing and milestone payments that may become payable if Takeda opts into certain studies. The operation and strategic direction of the parties’ collaboration is governed through a joint executive committee and appropriate subcommittees.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2255"/>
                <wp:effectExtent l="0" t="0" r="0" b="0"/>
                <wp:wrapNone/>
                <wp:docPr id="14" name="Frame13"/>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Revenues under the collaboration agreement with Takeda were as follows (in thousands):</w:t>
      </w:r>
    </w:p>
    <w:tbl>
      <w:tblPr>
        <w:tblW w:w="9561" w:type="dxa"/>
        <w:jc w:val="center"/>
        <w:tblInd w:w="0" w:type="dxa"/>
        <w:tblLayout w:type="fixed"/>
        <w:tblCellMar>
          <w:top w:w="28" w:type="dxa"/>
          <w:left w:w="28" w:type="dxa"/>
          <w:bottom w:w="28" w:type="dxa"/>
          <w:right w:w="28" w:type="dxa"/>
        </w:tblCellMar>
      </w:tblPr>
      <w:tblGrid>
        <w:gridCol w:w="1180"/>
        <w:gridCol w:w="1036"/>
        <w:gridCol w:w="1038"/>
        <w:gridCol w:w="291"/>
        <w:gridCol w:w="910"/>
        <w:gridCol w:w="140"/>
        <w:gridCol w:w="140"/>
        <w:gridCol w:w="140"/>
        <w:gridCol w:w="140"/>
        <w:gridCol w:w="291"/>
        <w:gridCol w:w="910"/>
        <w:gridCol w:w="140"/>
        <w:gridCol w:w="109"/>
        <w:gridCol w:w="109"/>
        <w:gridCol w:w="109"/>
        <w:gridCol w:w="252"/>
        <w:gridCol w:w="924"/>
        <w:gridCol w:w="122"/>
        <w:gridCol w:w="122"/>
        <w:gridCol w:w="122"/>
        <w:gridCol w:w="122"/>
        <w:gridCol w:w="252"/>
        <w:gridCol w:w="790"/>
        <w:gridCol w:w="172"/>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License revenues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2,659 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3,833 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Collaboration services revenues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collaboration revenues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5,286 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13,550 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9,002 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During the six months ended June 30, 2026, we recognized $7.8 million in revenues in connection with an $8.0 million commercial milestone payment from Takeda, which was earned upon their achievement of $300.0 million of cumulative net sales of cabozantinib in Japan. Of the revenues recognized from this milestone, $5.3 million was allocated to license revenues and $2.5 million was allocated to collaboration services revenues. Upon the achievement of this commercial milestone, the tiered royalty rate on annual net sales reset to 20% and will reset each calendar year, thereafter.</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Royalty Pharma</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October 2002, we established a product development and commercialization collaboration agreement with GlaxoSmithKline (now GSK plc, or GSK), that required us to pay a 3% royalty to GSK on the worldwide net sales of any product containing cabozantinib sold by us and our collaboration partners. Effective January 1, 2021, Royalty Pharma plc (Royalty Pharma) acquired from GSK all rights, title and interest in royalties on net product sales containing cabozantinib for non-U.S. markets for the full term of the royalty and for the U.S. market through September 2026, after which time U.S. royalties will revert back to GSK. Royalty fees earned by Royalty Pharma in connection with our sales of cabozantinib are included in cost of goods sold and as a reduction of collaboration services revenues for sales by our collaboration partners. Such royalty fees earned by Royalty Pharma were $24.1 million and $47.0 million during the three and six months ended June 30, 2026, respectively, as compared to $21.4 million and $41.7 million, respectively, for the corresponding prior year periods.</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Research Collaborations, In-Licensing Arrangements and Other Business Development Activities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enter into collaborative arrangements with other pharmaceutical or biotechnology companies to develop and commercialize oncology assets or other intellectual property. Our research collaborations and in-licensing arrangements are intended to enhance our early-stage pipeline and expand our ability to discover, develop and commercialize novel therapies with the goal of providing new treatment options for cancer patients. Our research collaborations, in-licensing arrangements and other strategic transactions generally include upfront payments for the purchase or in-licensing of intellectual property, development, regulatory and commercial milestone payments and royalty payments, in each case contingent upon the occurrence of certain future events linked to the success of the asset in development. Certain of our research collaborations provide us exclusive options that give us the right to license programs or acquire the intellectual property developed under the research collaborations for further discovery and development. When we decide to exercise the options, we are required to pay an exercise fee and then assume the responsibilities for all subsequent development, manufacturing and commercialization.</w:t>
      </w:r>
    </w:p>
    <w:p>
      <w:pPr>
        <w:pStyle w:val="TextBody"/>
        <w:bidi w:val="0"/>
        <w:spacing w:lineRule="auto" w:line="288" w:before="180" w:after="283"/>
        <w:ind w:left="0" w:right="0" w:firstLine="720"/>
        <w:jc w:val="left"/>
        <w:rPr/>
      </w:pPr>
      <w:r>
        <w:rPr>
          <w:rFonts w:ascii="sans-serif" w:hAnsi="sans-serif"/>
          <w:b w:val="false"/>
          <w:color w:val="000000"/>
          <w:sz w:val="20"/>
        </w:rPr>
        <w:t>During the three and six months ended June 30, 2026,</w:t>
      </w:r>
      <w:r>
        <w:rPr>
          <w:color w:val="000000"/>
          <w:shd w:fill="FFFFFF" w:val="clear"/>
        </w:rPr>
        <w:t xml:space="preserve"> </w:t>
      </w:r>
      <w:r>
        <w:rPr>
          <w:rFonts w:ascii="sans-serif" w:hAnsi="sans-serif"/>
          <w:b w:val="false"/>
          <w:color w:val="000000"/>
          <w:sz w:val="20"/>
          <w:shd w:fill="FFFFFF" w:val="clear"/>
        </w:rPr>
        <w:t xml:space="preserve">we recognized </w:t>
      </w:r>
      <w:r>
        <w:rPr>
          <w:rFonts w:ascii="sans-serif" w:hAnsi="sans-serif"/>
          <w:b w:val="false"/>
          <w:color w:val="000000"/>
          <w:sz w:val="20"/>
        </w:rPr>
        <w:t xml:space="preserve">$9.3 million and $17.1 million, respectively, as compared to $5.7 million and $10.9 million, respectively, for the corresponding prior year periods, </w:t>
      </w:r>
      <w:r>
        <w:rPr>
          <w:rFonts w:ascii="sans-serif" w:hAnsi="sans-serif"/>
          <w:b w:val="false"/>
          <w:color w:val="000000"/>
          <w:sz w:val="20"/>
          <w:shd w:fill="FFFFFF" w:val="clear"/>
        </w:rPr>
        <w:t>within research and development expenses on the Condensed Consolidated Statements of Income, primarily related to development milestone payments for the cost of intellectual property that have not yet achieved technological feasibility, research and development funding and other fees.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As of June 30, 2026, in conjunction with the active collaborative in-licensing arrangements and asset purchase agreements, we are subject to potential future development milestone payments of up to $441.5 million, regulatory milestone payments of up to $278.0 million and commercial milestone payments of up to $2.5 billion, each in the aggregate per product or target, as well as royalties on future net sales of products.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2255"/>
                <wp:effectExtent l="0" t="0" r="0" b="0"/>
                <wp:wrapNone/>
                <wp:docPr id="15" name="Frame14"/>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 xml:space="preserve">NOTE 5. CASH AND MARKETABLE SECURITIES </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Cash, Cash Equivalents and Marketable Securities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Cash, cash equivalents and marketable securities consisted of the following (in thousands):</w:t>
      </w:r>
    </w:p>
    <w:tbl>
      <w:tblPr>
        <w:tblW w:w="10205" w:type="dxa"/>
        <w:jc w:val="center"/>
        <w:tblInd w:w="0" w:type="dxa"/>
        <w:tblLayout w:type="fixed"/>
        <w:tblCellMar>
          <w:top w:w="28" w:type="dxa"/>
          <w:left w:w="28" w:type="dxa"/>
          <w:bottom w:w="28" w:type="dxa"/>
          <w:right w:w="28" w:type="dxa"/>
        </w:tblCellMar>
      </w:tblPr>
      <w:tblGrid>
        <w:gridCol w:w="1403"/>
        <w:gridCol w:w="875"/>
        <w:gridCol w:w="877"/>
        <w:gridCol w:w="233"/>
        <w:gridCol w:w="1164"/>
        <w:gridCol w:w="112"/>
        <w:gridCol w:w="109"/>
        <w:gridCol w:w="109"/>
        <w:gridCol w:w="109"/>
        <w:gridCol w:w="396"/>
        <w:gridCol w:w="923"/>
        <w:gridCol w:w="192"/>
        <w:gridCol w:w="109"/>
        <w:gridCol w:w="109"/>
        <w:gridCol w:w="109"/>
        <w:gridCol w:w="329"/>
        <w:gridCol w:w="1050"/>
        <w:gridCol w:w="158"/>
        <w:gridCol w:w="109"/>
        <w:gridCol w:w="109"/>
        <w:gridCol w:w="109"/>
        <w:gridCol w:w="226"/>
        <w:gridCol w:w="1126"/>
        <w:gridCol w:w="160"/>
      </w:tblGrid>
      <w:tr>
        <w:trPr/>
        <w:tc>
          <w:tcPr>
            <w:tcW w:w="140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Fair Value</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Debt securities available-for-sale:</w:t>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Commercial paper</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158,312 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158,312 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Corporate bonds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824,595 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740 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(2,424)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822,911 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U.S. Treasury and government-sponsored enterprises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166,642 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166,074 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Municipal bonds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debt securities available-for-sale</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1,158,264 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(3,060)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1,156,002 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Money market funds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171,852 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171,852 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Certificates of deposit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55,886 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55,886 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cash, cash equivalents and marketable securities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1,386,577 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798 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(3,060)</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1,384,315 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03"/>
        <w:gridCol w:w="875"/>
        <w:gridCol w:w="877"/>
        <w:gridCol w:w="233"/>
        <w:gridCol w:w="1164"/>
        <w:gridCol w:w="112"/>
        <w:gridCol w:w="109"/>
        <w:gridCol w:w="109"/>
        <w:gridCol w:w="109"/>
        <w:gridCol w:w="327"/>
        <w:gridCol w:w="1024"/>
        <w:gridCol w:w="159"/>
        <w:gridCol w:w="109"/>
        <w:gridCol w:w="109"/>
        <w:gridCol w:w="109"/>
        <w:gridCol w:w="459"/>
        <w:gridCol w:w="855"/>
        <w:gridCol w:w="222"/>
        <w:gridCol w:w="109"/>
        <w:gridCol w:w="109"/>
        <w:gridCol w:w="109"/>
        <w:gridCol w:w="226"/>
        <w:gridCol w:w="1126"/>
        <w:gridCol w:w="162"/>
      </w:tblGrid>
      <w:tr>
        <w:trPr/>
        <w:tc>
          <w:tcPr>
            <w:tcW w:w="140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Fair Value</w:t>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Debt securities available-for-sale:</w:t>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Commercial paper</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241,439 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241,439 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Corporate bonds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882,390 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886,500 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U.S. Treasury and government-sponsored enterprises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154,449 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155,139 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Municipal bonds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debt securities available-for-sale</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1,286,993 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4,887 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1,291,842 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Money market funds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304,352 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304,352 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Certificates of deposit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66,388 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66,388 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cash, cash equivalents and marketable securities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1,657,845 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4,887 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1,662,694 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pPr>
      <w:r>
        <w:rPr>
          <w:rFonts w:ascii="sans-serif" w:hAnsi="sans-serif"/>
          <w:b w:val="false"/>
          <w:color w:val="000000"/>
          <w:sz w:val="20"/>
        </w:rPr>
        <w:t xml:space="preserve">Interest receivable was $12.4 million as of both </w:t>
      </w:r>
      <w:r>
        <w:rPr>
          <w:rFonts w:ascii="sans-serif" w:hAnsi="sans-serif"/>
          <w:b w:val="false"/>
          <w:color w:val="000000"/>
          <w:sz w:val="20"/>
          <w:shd w:fill="FFFFFF" w:val="clear"/>
        </w:rPr>
        <w:t>June 30, 2026</w:t>
      </w:r>
      <w:r>
        <w:rPr>
          <w:color w:val="000000"/>
        </w:rPr>
        <w:t xml:space="preserve"> </w:t>
      </w:r>
      <w:r>
        <w:rPr>
          <w:rFonts w:ascii="sans-serif" w:hAnsi="sans-serif"/>
          <w:b w:val="false"/>
          <w:color w:val="000000"/>
          <w:sz w:val="20"/>
        </w:rPr>
        <w:t>and December 31, 2025, respectively, and is included in prepaid expenses and other current assets in the accompanying Condensed Consolidated Balance Sheets.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Realized gains and losses on the sales of marketable securities were immaterial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2255"/>
                <wp:effectExtent l="0" t="0" r="0" b="0"/>
                <wp:wrapNone/>
                <wp:docPr id="16" name="Frame15"/>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manage credit risk associated with our marketable securities portfolio through our investment policy, which limits purchases to high-quality issuers and the amount of our portfolio that can be invested in a single issuer. The fair value and gross unrealized losses on debt securities available-for-sale in an unrealized loss position were as follows (in thousands):</w:t>
      </w:r>
    </w:p>
    <w:tbl>
      <w:tblPr>
        <w:tblW w:w="11272" w:type="dxa"/>
        <w:jc w:val="left"/>
        <w:tblInd w:w="0" w:type="dxa"/>
        <w:tblLayout w:type="fixed"/>
        <w:tblCellMar>
          <w:top w:w="28" w:type="dxa"/>
          <w:left w:w="28" w:type="dxa"/>
          <w:bottom w:w="28" w:type="dxa"/>
          <w:right w:w="28" w:type="dxa"/>
        </w:tblCellMar>
      </w:tblPr>
      <w:tblGrid>
        <w:gridCol w:w="863"/>
        <w:gridCol w:w="759"/>
        <w:gridCol w:w="764"/>
        <w:gridCol w:w="226"/>
        <w:gridCol w:w="946"/>
        <w:gridCol w:w="109"/>
        <w:gridCol w:w="109"/>
        <w:gridCol w:w="109"/>
        <w:gridCol w:w="109"/>
        <w:gridCol w:w="371"/>
        <w:gridCol w:w="721"/>
        <w:gridCol w:w="109"/>
        <w:gridCol w:w="109"/>
        <w:gridCol w:w="109"/>
        <w:gridCol w:w="109"/>
        <w:gridCol w:w="226"/>
        <w:gridCol w:w="706"/>
        <w:gridCol w:w="109"/>
        <w:gridCol w:w="109"/>
        <w:gridCol w:w="109"/>
        <w:gridCol w:w="109"/>
        <w:gridCol w:w="555"/>
        <w:gridCol w:w="537"/>
        <w:gridCol w:w="109"/>
        <w:gridCol w:w="109"/>
        <w:gridCol w:w="109"/>
        <w:gridCol w:w="109"/>
        <w:gridCol w:w="226"/>
        <w:gridCol w:w="946"/>
        <w:gridCol w:w="109"/>
        <w:gridCol w:w="109"/>
        <w:gridCol w:w="109"/>
        <w:gridCol w:w="109"/>
        <w:gridCol w:w="255"/>
        <w:gridCol w:w="815"/>
        <w:gridCol w:w="176"/>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In an Unrealized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In an Unrealized Loss Position 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Gross Unrealized Losses</w:t>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Corporate bonds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469,752 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472,740 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(2,424)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U.S. Treasury and government-sponsored enterprises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Municipal Bonds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589,308 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597,254 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(3,060)</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152" w:type="dxa"/>
        <w:jc w:val="center"/>
        <w:tblInd w:w="0" w:type="dxa"/>
        <w:tblLayout w:type="fixed"/>
        <w:tblCellMar>
          <w:top w:w="28" w:type="dxa"/>
          <w:left w:w="28" w:type="dxa"/>
          <w:bottom w:w="28" w:type="dxa"/>
          <w:right w:w="28" w:type="dxa"/>
        </w:tblCellMar>
      </w:tblPr>
      <w:tblGrid>
        <w:gridCol w:w="863"/>
        <w:gridCol w:w="759"/>
        <w:gridCol w:w="764"/>
        <w:gridCol w:w="226"/>
        <w:gridCol w:w="826"/>
        <w:gridCol w:w="109"/>
        <w:gridCol w:w="109"/>
        <w:gridCol w:w="109"/>
        <w:gridCol w:w="109"/>
        <w:gridCol w:w="520"/>
        <w:gridCol w:w="572"/>
        <w:gridCol w:w="109"/>
        <w:gridCol w:w="109"/>
        <w:gridCol w:w="109"/>
        <w:gridCol w:w="109"/>
        <w:gridCol w:w="226"/>
        <w:gridCol w:w="826"/>
        <w:gridCol w:w="109"/>
        <w:gridCol w:w="109"/>
        <w:gridCol w:w="109"/>
        <w:gridCol w:w="109"/>
        <w:gridCol w:w="555"/>
        <w:gridCol w:w="537"/>
        <w:gridCol w:w="109"/>
        <w:gridCol w:w="109"/>
        <w:gridCol w:w="109"/>
        <w:gridCol w:w="109"/>
        <w:gridCol w:w="226"/>
        <w:gridCol w:w="826"/>
        <w:gridCol w:w="109"/>
        <w:gridCol w:w="109"/>
        <w:gridCol w:w="109"/>
        <w:gridCol w:w="109"/>
        <w:gridCol w:w="351"/>
        <w:gridCol w:w="654"/>
        <w:gridCol w:w="241"/>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In an Unrealized Loss Position 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In an Unrealized Loss Position 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2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Gross Unrealized Losses</w:t>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Corporate bonds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U.S. Treasury and government-sponsored enterprises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pPr>
      <w:r>
        <w:rPr>
          <w:rFonts w:ascii="sans-serif" w:hAnsi="sans-serif"/>
          <w:b w:val="false"/>
          <w:color w:val="000000"/>
          <w:sz w:val="20"/>
        </w:rPr>
        <w:t xml:space="preserve">There were 262 and 35 debt securities available-for-sale in an unrealized loss position as of </w:t>
      </w:r>
      <w:r>
        <w:rPr>
          <w:rFonts w:ascii="sans-serif" w:hAnsi="sans-serif"/>
          <w:b w:val="false"/>
          <w:color w:val="000000"/>
          <w:sz w:val="20"/>
          <w:shd w:fill="FFFFFF" w:val="clear"/>
        </w:rPr>
        <w:t xml:space="preserve">June 30, 2026 and </w:t>
      </w:r>
      <w:r>
        <w:rPr>
          <w:rFonts w:ascii="sans-serif" w:hAnsi="sans-serif"/>
          <w:b w:val="false"/>
          <w:color w:val="000000"/>
          <w:sz w:val="20"/>
        </w:rPr>
        <w:t>December 31, 2025, respectively. During the three and six months ended June 30, 2026, we did not record an allowance for credit losses or other impairment charges on our marketable securities. Based upon our quarterly impairment review, we determined that the unrealized losses were not attributed to credit risk but were primarily associated with changes in interest rates and market liquidity. Based on the scheduled maturities of our marketable securities, we determined that it was more likely than not that we will hold these marketable securities for a period of time sufficient for a recovery of our cost basis.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fair values of debt securities available-for-sale by contractual maturity were as follows (in thousands):</w:t>
      </w:r>
    </w:p>
    <w:tbl>
      <w:tblPr>
        <w:tblW w:w="8139" w:type="dxa"/>
        <w:jc w:val="center"/>
        <w:tblInd w:w="0" w:type="dxa"/>
        <w:tblLayout w:type="fixed"/>
        <w:tblCellMar>
          <w:top w:w="28" w:type="dxa"/>
          <w:left w:w="28" w:type="dxa"/>
          <w:bottom w:w="28" w:type="dxa"/>
          <w:right w:w="28" w:type="dxa"/>
        </w:tblCellMar>
      </w:tblPr>
      <w:tblGrid>
        <w:gridCol w:w="1535"/>
        <w:gridCol w:w="1352"/>
        <w:gridCol w:w="1357"/>
        <w:gridCol w:w="227"/>
        <w:gridCol w:w="1133"/>
        <w:gridCol w:w="109"/>
        <w:gridCol w:w="109"/>
        <w:gridCol w:w="109"/>
        <w:gridCol w:w="109"/>
        <w:gridCol w:w="315"/>
        <w:gridCol w:w="1570"/>
        <w:gridCol w:w="21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Maturing in one year or less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611,072 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691,409 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Maturing after one year through five years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600,433 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debt securities available-for-sale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1,156,002 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1,291,842 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6. FAIR VALUE MEASUREMENTS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Fair value reflects the amounts that would be received upon sale of an asset or paid to transfer a liability in an orderly transaction between market participants at the measurement date. The fair value hierarchy has the following three levels:</w:t>
      </w:r>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Level 1 - quoted prices (unadjusted) in active markets for identical assets and liabilities;</w:t>
      </w:r>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Level 2 - inputs other than Level 1 that are observable either directly or indirectly, such as quoted prices in active markets for similar instruments or on industry models using data inputs, such as interest rates and prices that can be directly observed or corroborated in active markets; and</w:t>
      </w:r>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Level 3 - unobservable inputs that are supported by little or no market activity that are significant to the fair value measurement.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2255"/>
                <wp:effectExtent l="0" t="0" r="0" b="0"/>
                <wp:wrapNone/>
                <wp:docPr id="17" name="Frame16"/>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classifications within the fair value hierarchy of our financial assets that were measured and recorded at fair value on a recurring basis were as follows (in thousands):</w:t>
      </w:r>
    </w:p>
    <w:tbl>
      <w:tblPr>
        <w:tblW w:w="10205" w:type="dxa"/>
        <w:jc w:val="center"/>
        <w:tblInd w:w="0" w:type="dxa"/>
        <w:tblLayout w:type="fixed"/>
        <w:tblCellMar>
          <w:top w:w="28" w:type="dxa"/>
          <w:left w:w="28" w:type="dxa"/>
          <w:bottom w:w="28" w:type="dxa"/>
          <w:right w:w="28" w:type="dxa"/>
        </w:tblCellMar>
      </w:tblPr>
      <w:tblGrid>
        <w:gridCol w:w="1920"/>
        <w:gridCol w:w="1689"/>
        <w:gridCol w:w="1693"/>
        <w:gridCol w:w="226"/>
        <w:gridCol w:w="946"/>
        <w:gridCol w:w="109"/>
        <w:gridCol w:w="109"/>
        <w:gridCol w:w="109"/>
        <w:gridCol w:w="109"/>
        <w:gridCol w:w="226"/>
        <w:gridCol w:w="1126"/>
        <w:gridCol w:w="109"/>
        <w:gridCol w:w="109"/>
        <w:gridCol w:w="109"/>
        <w:gridCol w:w="109"/>
        <w:gridCol w:w="226"/>
        <w:gridCol w:w="1126"/>
        <w:gridCol w:w="155"/>
      </w:tblGrid>
      <w:tr>
        <w:trPr/>
        <w:tc>
          <w:tcPr>
            <w:tcW w:w="192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r>
      <w:tr>
        <w:trPr/>
        <w:tc>
          <w:tcPr>
            <w:tcW w:w="5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Commercial paper</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158,312 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Corporate bonds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822,911 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822,911 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U.S. Treasury and government-sponsored enterprises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166,074 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Municipal bonds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debt securities available-for-sale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1,156,002 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1,156,002 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171,852 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Certificates of deposit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55,886 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financial assets carried at fair value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1,211,888 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1,383,740 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20"/>
        <w:gridCol w:w="1689"/>
        <w:gridCol w:w="1693"/>
        <w:gridCol w:w="226"/>
        <w:gridCol w:w="946"/>
        <w:gridCol w:w="109"/>
        <w:gridCol w:w="109"/>
        <w:gridCol w:w="109"/>
        <w:gridCol w:w="109"/>
        <w:gridCol w:w="226"/>
        <w:gridCol w:w="1126"/>
        <w:gridCol w:w="109"/>
        <w:gridCol w:w="109"/>
        <w:gridCol w:w="109"/>
        <w:gridCol w:w="109"/>
        <w:gridCol w:w="226"/>
        <w:gridCol w:w="1126"/>
        <w:gridCol w:w="155"/>
      </w:tblGrid>
      <w:tr>
        <w:trPr/>
        <w:tc>
          <w:tcPr>
            <w:tcW w:w="1920"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5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w:t>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Commercial paper</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241,439 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Corporate bonds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886,500 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U.S. Treasury and government-sponsored enterprises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155,139 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155,139 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Municipal bonds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debt securities available-for-sale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1,291,842 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1,291,842 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Money market funds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Certificates of deposit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66,388 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financial assets carried at fair value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304,352 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1,358,230 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1,662,582 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02"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When available, we value marketable securities based on quoted prices for those financial instruments, which is a Level 1 input. Our remaining marketable securities are valued using third-party pricing sources, which use observable market prices, interest rates and yield curves observable at commonly quoted intervals for similar assets as observable inputs for pricing, which is a Level 2 input.</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carrying amount of our remaining financial assets and liabilities, which include cash, receivables and payables, approximate their fair values due to their short-term nature.</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Forward Foreign Currency Contracts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We may enter into forward foreign currency exchange contracts that are not designated as hedges for accounting purposes to hedge certain operational exposures for the changes in foreign currency exchange rates associated with assets or liabilities denominated in foreign currencies, primarily the Euro. </w:t>
      </w:r>
    </w:p>
    <w:p>
      <w:pPr>
        <w:pStyle w:val="TextBody"/>
        <w:bidi w:val="0"/>
        <w:spacing w:lineRule="auto" w:line="288" w:before="180" w:after="283"/>
        <w:ind w:left="0" w:right="0" w:firstLine="720"/>
        <w:jc w:val="left"/>
        <w:rPr/>
      </w:pPr>
      <w:r>
        <w:rPr>
          <w:rFonts w:ascii="sans-serif" w:hAnsi="sans-serif"/>
          <w:b w:val="false"/>
          <w:color w:val="000000"/>
          <w:sz w:val="20"/>
        </w:rPr>
        <w:t xml:space="preserve">As of </w:t>
      </w:r>
      <w:r>
        <w:rPr>
          <w:rFonts w:ascii="sans-serif" w:hAnsi="sans-serif"/>
          <w:b w:val="false"/>
          <w:color w:val="000000"/>
          <w:sz w:val="20"/>
          <w:shd w:fill="FFFFFF" w:val="clear"/>
        </w:rPr>
        <w:t>June 30, 2026</w:t>
      </w:r>
      <w:r>
        <w:rPr>
          <w:rFonts w:ascii="sans-serif" w:hAnsi="sans-serif"/>
          <w:b w:val="false"/>
          <w:color w:val="000000"/>
          <w:sz w:val="20"/>
        </w:rPr>
        <w:t xml:space="preserve">, </w:t>
      </w:r>
      <w:r>
        <w:rPr>
          <w:rFonts w:ascii="sans-serif" w:hAnsi="sans-serif"/>
          <w:b w:val="false"/>
          <w:color w:val="000000"/>
          <w:sz w:val="20"/>
          <w:shd w:fill="FFFFFF" w:val="clear"/>
        </w:rPr>
        <w:t>we had one</w:t>
      </w:r>
      <w:r>
        <w:rPr>
          <w:color w:val="000000"/>
        </w:rPr>
        <w:t xml:space="preserve"> </w:t>
      </w:r>
      <w:r>
        <w:rPr>
          <w:rFonts w:ascii="sans-serif" w:hAnsi="sans-serif"/>
          <w:b w:val="false"/>
          <w:color w:val="000000"/>
          <w:sz w:val="20"/>
          <w:shd w:fill="FFFFFF" w:val="clear"/>
        </w:rPr>
        <w:t xml:space="preserve">forward contract outstanding to sell </w:t>
      </w:r>
      <w:r>
        <w:rPr>
          <w:color w:val="000000"/>
        </w:rPr>
        <w:t>€</w:t>
      </w:r>
      <w:r>
        <w:rPr>
          <w:rFonts w:ascii="sans-serif" w:hAnsi="sans-serif"/>
          <w:b w:val="false"/>
          <w:color w:val="000000"/>
          <w:sz w:val="20"/>
        </w:rPr>
        <w:t xml:space="preserve">3.5 million. The forward contract with a maturity of three months is recorded at fair value and is included in other current liabilities in the accompanying Condensed Consolidated Balance Sheets. The unrealized loss on the forward contract was immaterial as of </w:t>
      </w:r>
      <w:r>
        <w:rPr>
          <w:rFonts w:ascii="sans-serif" w:hAnsi="sans-serif"/>
          <w:b w:val="false"/>
          <w:color w:val="000000"/>
          <w:sz w:val="20"/>
          <w:shd w:fill="FFFFFF" w:val="clear"/>
        </w:rPr>
        <w:t>June 30, 2026. T</w:t>
      </w:r>
      <w:r>
        <w:rPr>
          <w:rFonts w:ascii="sans-serif" w:hAnsi="sans-serif"/>
          <w:b w:val="false"/>
          <w:color w:val="000000"/>
          <w:sz w:val="20"/>
        </w:rPr>
        <w:t xml:space="preserve">he forward contract is considered a Level 2 in the fair value hierarchy of our fair value measurements. The net realized gains (losses) we recognized on the maturity of forward contracts were </w:t>
      </w:r>
      <w:r>
        <w:rPr>
          <w:rFonts w:ascii="sans-serif" w:hAnsi="sans-serif"/>
          <w:b w:val="false"/>
          <w:color w:val="000000"/>
          <w:sz w:val="20"/>
          <w:shd w:fill="FFFFFF" w:val="clear"/>
        </w:rPr>
        <w:t>immaterial</w:t>
      </w:r>
      <w:r>
        <w:rPr>
          <w:color w:val="000000"/>
        </w:rPr>
        <w:t xml:space="preserve"> </w:t>
      </w:r>
      <w:r>
        <w:rPr>
          <w:rFonts w:ascii="sans-serif" w:hAnsi="sans-serif"/>
          <w:b w:val="false"/>
          <w:color w:val="000000"/>
          <w:sz w:val="20"/>
        </w:rPr>
        <w:t xml:space="preserve">for each of the three and six months ended June 30, 2026 and 2025, and are included in other income (expenses), net in the accompanying Condensed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2255"/>
                <wp:effectExtent l="0" t="0" r="0" b="0"/>
                <wp:wrapNone/>
                <wp:docPr id="18" name="Frame17"/>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7. INVENTORY</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Inventory consisted of the following (in thousands):</w:t>
      </w:r>
    </w:p>
    <w:tbl>
      <w:tblPr>
        <w:tblW w:w="9491" w:type="dxa"/>
        <w:jc w:val="center"/>
        <w:tblInd w:w="0" w:type="dxa"/>
        <w:tblLayout w:type="fixed"/>
        <w:tblCellMar>
          <w:top w:w="28" w:type="dxa"/>
          <w:left w:w="28" w:type="dxa"/>
          <w:bottom w:w="28" w:type="dxa"/>
          <w:right w:w="28" w:type="dxa"/>
        </w:tblCellMar>
      </w:tblPr>
      <w:tblGrid>
        <w:gridCol w:w="2029"/>
        <w:gridCol w:w="1776"/>
        <w:gridCol w:w="1790"/>
        <w:gridCol w:w="286"/>
        <w:gridCol w:w="1046"/>
        <w:gridCol w:w="138"/>
        <w:gridCol w:w="109"/>
        <w:gridCol w:w="109"/>
        <w:gridCol w:w="109"/>
        <w:gridCol w:w="393"/>
        <w:gridCol w:w="1438"/>
        <w:gridCol w:w="268"/>
      </w:tblGrid>
      <w:tr>
        <w:trPr/>
        <w:tc>
          <w:tcPr>
            <w:tcW w:w="202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Raw materials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894 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Work in process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48,801 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53,531 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Finished goods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14,373 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5,942 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64,090 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60,367 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Balance Sheet classification:</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Current portion included in inventory</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28,729 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21,686 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Non-current portion included in other non-current assets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35,361 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38,681 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64,090 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60,367 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8. STOCKHOLDERS’ EQUITY</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Stock-based Compensation</w:t>
      </w:r>
    </w:p>
    <w:p>
      <w:pPr>
        <w:pStyle w:val="TextBody"/>
        <w:bidi w:val="0"/>
        <w:spacing w:lineRule="auto" w:line="288" w:before="180" w:after="283"/>
        <w:ind w:left="0" w:right="0" w:firstLine="720"/>
        <w:jc w:val="left"/>
        <w:rPr/>
      </w:pPr>
      <w:r>
        <w:rPr>
          <w:rFonts w:ascii="sans-serif" w:hAnsi="sans-serif"/>
          <w:b w:val="false"/>
          <w:color w:val="000000"/>
          <w:sz w:val="20"/>
        </w:rPr>
        <w:t xml:space="preserve">We have an equity incentive plan under which we grant stock options and restricted stock units (RSUs), including market condition-based RSUs and performance-based RSUs (PSUs) to employees and directors. On May 26, 2026, at the 2026 Annual Meeting of Stockholders, our stockholders approved the amendment and restatement of the Exelixis, Inc. 2017 Equity Incentive Plan (as amended and restated, the 2017 Plan). The amendment and restatement increased the share reserve, under the 2017 Plan, by 2,000,000 shares. As of </w:t>
      </w:r>
      <w:r>
        <w:rPr>
          <w:rFonts w:ascii="sans-serif" w:hAnsi="sans-serif"/>
          <w:b w:val="false"/>
          <w:color w:val="000000"/>
          <w:sz w:val="20"/>
          <w:shd w:fill="FFFFFF" w:val="clear"/>
        </w:rPr>
        <w:t xml:space="preserve">June 30, 2026, </w:t>
      </w:r>
      <w:r>
        <w:rPr>
          <w:rFonts w:ascii="sans-serif" w:hAnsi="sans-serif"/>
          <w:b w:val="false"/>
          <w:color w:val="000000"/>
          <w:sz w:val="20"/>
        </w:rPr>
        <w:t xml:space="preserve">16.0 million </w:t>
      </w:r>
      <w:r>
        <w:rPr>
          <w:rFonts w:ascii="sans-serif" w:hAnsi="sans-serif"/>
          <w:b w:val="false"/>
          <w:color w:val="000000"/>
          <w:sz w:val="20"/>
          <w:shd w:fill="FFFFFF" w:val="clear"/>
        </w:rPr>
        <w:t>sh</w:t>
      </w:r>
      <w:r>
        <w:rPr>
          <w:rFonts w:ascii="sans-serif" w:hAnsi="sans-serif"/>
          <w:b w:val="false"/>
          <w:color w:val="000000"/>
          <w:sz w:val="20"/>
        </w:rPr>
        <w:t>ares were available for grant under the 2017 Plan. The share reserve is reduced by 1 share for each share issued pursuant to any award granted on or after May 26, 2026, including stock options, RSUs and PSUs. In addition, for each share that becomes available again for issuance under the terms of the 2017 Plan on or after May 26, 2026, the share reserve will be increased by the same number of shares by which the share reserve was reduced at the time the applicable award was granted.</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allocated stock-based compensation for the 2017 Plan and the 2000 Employee Stock Purchase Plan (as amended and restated, the Amended ESPP) as follows (in thousands):</w:t>
      </w:r>
    </w:p>
    <w:tbl>
      <w:tblPr>
        <w:tblW w:w="9842" w:type="dxa"/>
        <w:jc w:val="center"/>
        <w:tblInd w:w="0" w:type="dxa"/>
        <w:tblLayout w:type="fixed"/>
        <w:tblCellMar>
          <w:top w:w="28" w:type="dxa"/>
          <w:left w:w="28" w:type="dxa"/>
          <w:bottom w:w="28" w:type="dxa"/>
          <w:right w:w="28" w:type="dxa"/>
        </w:tblCellMar>
      </w:tblPr>
      <w:tblGrid>
        <w:gridCol w:w="1281"/>
        <w:gridCol w:w="1127"/>
        <w:gridCol w:w="1132"/>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14,143 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24,662 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23,665 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21,928 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36,951 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38,336 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stock-based compensation</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32,563 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36,071 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61,613 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62,001 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Stock-based compensation for each type of award under the 2017 Plan and the Amended ESPP were as follows (in thousands):</w:t>
      </w:r>
    </w:p>
    <w:tbl>
      <w:tblPr>
        <w:tblW w:w="10205" w:type="dxa"/>
        <w:jc w:val="center"/>
        <w:tblInd w:w="0" w:type="dxa"/>
        <w:tblLayout w:type="fixed"/>
        <w:tblCellMar>
          <w:top w:w="28" w:type="dxa"/>
          <w:left w:w="28" w:type="dxa"/>
          <w:bottom w:w="28" w:type="dxa"/>
          <w:right w:w="28" w:type="dxa"/>
        </w:tblCellMar>
      </w:tblPr>
      <w:tblGrid>
        <w:gridCol w:w="1437"/>
        <w:gridCol w:w="1268"/>
        <w:gridCol w:w="1251"/>
        <w:gridCol w:w="260"/>
        <w:gridCol w:w="955"/>
        <w:gridCol w:w="125"/>
        <w:gridCol w:w="125"/>
        <w:gridCol w:w="125"/>
        <w:gridCol w:w="125"/>
        <w:gridCol w:w="260"/>
        <w:gridCol w:w="955"/>
        <w:gridCol w:w="125"/>
        <w:gridCol w:w="109"/>
        <w:gridCol w:w="109"/>
        <w:gridCol w:w="109"/>
        <w:gridCol w:w="239"/>
        <w:gridCol w:w="878"/>
        <w:gridCol w:w="115"/>
        <w:gridCol w:w="115"/>
        <w:gridCol w:w="115"/>
        <w:gridCol w:w="115"/>
        <w:gridCol w:w="239"/>
        <w:gridCol w:w="878"/>
        <w:gridCol w:w="173"/>
      </w:tblGrid>
      <w:tr>
        <w:trPr/>
        <w:tc>
          <w:tcPr>
            <w:tcW w:w="143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 options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671 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1,731 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Restricted stock units</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31,644 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34,626 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58,703 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57,728 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Performance-based restricted stock units</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Employee stock purchase plan</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stock-based compensation</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32,563 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36,071 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61,613 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62,001 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pPr>
      <w:r>
        <w:rPr>
          <w:rFonts w:ascii="sans-serif" w:hAnsi="sans-serif"/>
          <w:b w:val="false"/>
          <w:color w:val="000000"/>
          <w:sz w:val="20"/>
        </w:rPr>
        <w:t xml:space="preserve">As of </w:t>
      </w:r>
      <w:r>
        <w:rPr>
          <w:rFonts w:ascii="sans-serif" w:hAnsi="sans-serif"/>
          <w:b w:val="false"/>
          <w:color w:val="000000"/>
          <w:sz w:val="20"/>
          <w:shd w:fill="FFFFFF" w:val="clear"/>
        </w:rPr>
        <w:t>June 30, 2026</w:t>
      </w:r>
      <w:r>
        <w:rPr>
          <w:rFonts w:ascii="sans-serif" w:hAnsi="sans-serif"/>
          <w:b w:val="false"/>
          <w:color w:val="000000"/>
          <w:sz w:val="20"/>
        </w:rPr>
        <w:t>, there were 1.3 million stock options outstanding and $0.8 million of related unrecognized 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2255"/>
                <wp:effectExtent l="0" t="0" r="0" b="0"/>
                <wp:wrapNone/>
                <wp:docPr id="19" name="Frame18"/>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February 2026, we awarded to certain employees an aggregate of 0.7 million RSUs (the target number) that are subject to a total shareholder return (TSR) market condition and a time-based service condition (the 2026 TSR-based RSUs). The TSR market condition is based on our relative TSR percentile rank compared to companies in the Nasdaq Biotechnology Index during the performance period, which is January 3, 2026 through December 29, 2028. Depending on the results relative to the TSR market condition, the holders of the 2026 TSR-based RSUs may earn up to 200% of the target number of shares. Following achievement of the market condition at the end of the performance period and upon employee’s continuous service through the vesting dates, 50% of the shares earned pursuant to the 2026 TSR-based RSUs will vest shortly after the end of the performance period, and the remainder will vest approximately one year later. The 2026 TSR-based RSUs will be forfeited if the market condition at or above a threshold level is not achieved, and/or the time-based service condition is not fulfilled, by the end of the performance period and through the vesting dates.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used a Monte Carlo simulation model and the following assumptions to determine the grant date fair value of $55.31 per share for the 2026 TSR-based RSUs:</w:t>
      </w:r>
    </w:p>
    <w:tbl>
      <w:tblPr>
        <w:tblW w:w="7596" w:type="dxa"/>
        <w:jc w:val="center"/>
        <w:tblInd w:w="0" w:type="dxa"/>
        <w:tblLayout w:type="fixed"/>
        <w:tblCellMar>
          <w:top w:w="28" w:type="dxa"/>
          <w:left w:w="28" w:type="dxa"/>
          <w:bottom w:w="28" w:type="dxa"/>
          <w:right w:w="28" w:type="dxa"/>
        </w:tblCellMar>
      </w:tblPr>
      <w:tblGrid>
        <w:gridCol w:w="1817"/>
        <w:gridCol w:w="1601"/>
        <w:gridCol w:w="1606"/>
        <w:gridCol w:w="428"/>
        <w:gridCol w:w="1339"/>
        <w:gridCol w:w="542"/>
        <w:gridCol w:w="109"/>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 TSR-based RSUs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20"/>
              </w:rPr>
            </w:pPr>
            <w:r>
              <w:rPr>
                <w:rFonts w:ascii="sans-serif" w:hAnsi="sans-serif"/>
                <w:b w:val="false"/>
                <w:color w:val="000000"/>
                <w:sz w:val="20"/>
              </w:rPr>
              <w:t>Fair value of Exelixis common stock on grant date</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44.28 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20"/>
              </w:rPr>
            </w:pPr>
            <w:r>
              <w:rPr>
                <w:rFonts w:ascii="sans-serif" w:hAnsi="sans-serif"/>
                <w:b w:val="false"/>
                <w:color w:val="000000"/>
                <w:sz w:val="20"/>
              </w:rPr>
              <w:t>Expected volatility</w:t>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35.5</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20"/>
              </w:rPr>
            </w:pPr>
            <w:r>
              <w:rPr>
                <w:rFonts w:ascii="sans-serif" w:hAnsi="sans-serif"/>
                <w:b w:val="false"/>
                <w:color w:val="000000"/>
                <w:sz w:val="20"/>
              </w:rPr>
              <w:t>Risk-free interest rate</w:t>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w:t>
            </w:r>
          </w:p>
        </w:tc>
        <w:tc>
          <w:tcPr>
            <w:tcW w:w="5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20"/>
              </w:rPr>
            </w:pPr>
            <w:r>
              <w:rPr>
                <w:rFonts w:ascii="sans-serif" w:hAnsi="sans-serif"/>
                <w:b w:val="false"/>
                <w:color w:val="000000"/>
                <w:sz w:val="20"/>
              </w:rPr>
              <w:t>Dividend yield</w:t>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Monte Carlo simulation model for our 2026 TSR-based RSUs assumed correlations of returns of the stock prices of Exelixis common stock and the common stock of a peer group of companies and historical stock price volatility of the peer group of companies. The valuation model also used terms based on the remaining length of the performance period and compound annual growth rate goals for TSR based on the provisions of the awards. Stock-based compensation related to RSUs with a market condition is recognized regardless of the outcome of the market condition.</w:t>
      </w:r>
    </w:p>
    <w:p>
      <w:pPr>
        <w:pStyle w:val="TextBody"/>
        <w:bidi w:val="0"/>
        <w:spacing w:lineRule="auto" w:line="288" w:before="180" w:after="283"/>
        <w:ind w:left="0" w:right="0" w:firstLine="720"/>
        <w:jc w:val="left"/>
        <w:rPr/>
      </w:pPr>
      <w:r>
        <w:rPr>
          <w:rFonts w:ascii="sans-serif" w:hAnsi="sans-serif"/>
          <w:b w:val="false"/>
          <w:color w:val="000000"/>
          <w:sz w:val="20"/>
        </w:rPr>
        <w:t xml:space="preserve">During the six months ended June 30, 2026, we granted 1.9 million service-based RSUs with a weighted- average grant date fair value of $44.69 per share. As of </w:t>
      </w:r>
      <w:r>
        <w:rPr>
          <w:rFonts w:ascii="sans-serif" w:hAnsi="sans-serif"/>
          <w:b w:val="false"/>
          <w:color w:val="000000"/>
          <w:sz w:val="20"/>
          <w:shd w:fill="FFFFFF" w:val="clear"/>
        </w:rPr>
        <w:t>June 30, 2026</w:t>
      </w:r>
      <w:r>
        <w:rPr>
          <w:rFonts w:ascii="sans-serif" w:hAnsi="sans-serif"/>
          <w:b w:val="false"/>
          <w:color w:val="000000"/>
          <w:sz w:val="20"/>
        </w:rPr>
        <w:t>, there were 16.4 million RSUs outstanding, including RSUs that are subject to market conditions, and $342.9 million of related unrecognized stock-based compensation. Service-based RSUs granted to employees during the six months ended June 30, 2026, have vesting conditions and contractual lives of a similar nature to those described in “Note 9. Stockholders’ Equity” of the “Notes to Consolidated Financial Statements” included in Part II, Item 8 of our Fiscal 2025 Form 10-K.</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Common Stock Repurchases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October 2025, our Board of Directors authorized a stock repurchase program (SRP) to acquire up to $750.0 million of our outstanding common stock before December 31, 2026 (the October 2025 SRP). In May 2026, our Board of Directors authorized the repurchase of up to an additional $750.0 million of our outstanding common stock before December 31, 2027 (the May 2026 SRP). Under these SRPs, as of June 30, 2026, we have repurchased 20.2 million shares of common stock for an aggregate purchase price of $902.2 million and have completed the October 2025 SRP. As of June 30, 2026, approximately $597.8 million remained available under the May 2026 SRP for future stock repurchases before December 31, 2027. Stock repurchases under these SRPs may be made from time to time through a variety of methods, which may include open market purchases, in block trades, Rule 10b5-1 trading plans, accelerated share repurchase transactions, exchange transactions, or any combination of such methods. The timing and amount of any stock repurchases under the SRPs will be based on a variety of factors, including ongoing assessments of the capital needs of the business, alternative investment opportunities, the market price of our common stock and general market conditions. The SRPs do not obligate us to acquire any amount of our common stock, and the SRPs may be modified, suspended or discontinued at any time without prior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9. PROVISION FOR INCOME TAXES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The effective tax rates for the three and six months ended June 30, 2026 were 19.3% and 20.3%, respectively, as compared to 19.8% and 21.0% for the corresponding periods in 2025. The effective tax rates for the three and six months ended June 30, 2026, differed from the U.S. federal statutory tax rate of 21%, primarily due to excess tax benefits related to certain stock grants and the Foreign-Derived Intangible Income deduction, partially offset by state taxes. The effective tax rate for the three months ended June 30, 2025, differed from the U.S. federal statutory tax rate of 21%, primarily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2255"/>
                <wp:effectExtent l="0" t="0" r="0" b="0"/>
                <wp:wrapNone/>
                <wp:docPr id="20" name="Frame19"/>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excess tax benefits related to certain stock grants and the generation of federal tax credits, partially offset by state taxes. The effective tax rate for the six months ended June 30, 2025, differed from the U.S. federal statutory rate of 21%, primarily due to state taxes, offset by excess tax benefits related to certain stock grants and the generation of federal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10. NET INCOME PER SHARE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Net income per share — basic and diluted, were computed as follows (in thousands, except per share amounts):</w:t>
      </w:r>
    </w:p>
    <w:tbl>
      <w:tblPr>
        <w:tblW w:w="10205" w:type="dxa"/>
        <w:jc w:val="center"/>
        <w:tblInd w:w="0" w:type="dxa"/>
        <w:tblLayout w:type="fixed"/>
        <w:tblCellMar>
          <w:top w:w="28" w:type="dxa"/>
          <w:left w:w="28" w:type="dxa"/>
          <w:bottom w:w="28" w:type="dxa"/>
          <w:right w:w="28" w:type="dxa"/>
        </w:tblCellMar>
      </w:tblPr>
      <w:tblGrid>
        <w:gridCol w:w="1424"/>
        <w:gridCol w:w="1251"/>
        <w:gridCol w:w="1266"/>
        <w:gridCol w:w="234"/>
        <w:gridCol w:w="983"/>
        <w:gridCol w:w="113"/>
        <w:gridCol w:w="113"/>
        <w:gridCol w:w="113"/>
        <w:gridCol w:w="113"/>
        <w:gridCol w:w="234"/>
        <w:gridCol w:w="983"/>
        <w:gridCol w:w="113"/>
        <w:gridCol w:w="109"/>
        <w:gridCol w:w="109"/>
        <w:gridCol w:w="109"/>
        <w:gridCol w:w="226"/>
        <w:gridCol w:w="946"/>
        <w:gridCol w:w="109"/>
        <w:gridCol w:w="109"/>
        <w:gridCol w:w="109"/>
        <w:gridCol w:w="109"/>
        <w:gridCol w:w="226"/>
        <w:gridCol w:w="946"/>
        <w:gridCol w:w="158"/>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3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Numerator:</w:t>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212,050 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184,848 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422,517 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344,464 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Denominator:</w:t>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Weighted-average common shares outstanding — basic</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250,808 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272,583 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275,693 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Dilutive securities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11,810 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10,592 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Weighted-average common shares outstanding — diluted</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259,675 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284,393 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263,499 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286,285 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 per share — basic</w:t>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income per share — diluted</w:t>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0.82 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0.65 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1.20 </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basic net income per share is computed using the weighted-average number of common shares outstanding during the periods. The diluted net income per share is computed using the weighted-average number of common shares outstanding and dilutive potential common shares outstanding during the periods. Dilutive common shares outstanding include the dilutive effect of in-the-money options, unvested RSUs (including market condition-based RSUs), unvested PSUs when the performance condition is met and ESPP contributions. The dilutive effect of such equity awards is calculated based on the average share price for each fiscal period using the treasury stock method.</w:t>
      </w:r>
    </w:p>
    <w:p>
      <w:pPr>
        <w:pStyle w:val="TextBody"/>
        <w:bidi w:val="0"/>
        <w:spacing w:lineRule="auto" w:line="288" w:before="180" w:after="283"/>
        <w:ind w:left="0" w:right="0" w:firstLine="720"/>
        <w:jc w:val="left"/>
        <w:rPr/>
      </w:pPr>
      <w:r>
        <w:rPr>
          <w:rFonts w:ascii="sans-serif" w:hAnsi="sans-serif"/>
          <w:b w:val="false"/>
          <w:color w:val="000000"/>
          <w:sz w:val="20"/>
        </w:rPr>
        <w:t xml:space="preserve">Certain potential common shares were excluded from our calculation of weighted-average common shares outstanding </w:t>
      </w:r>
      <w:r>
        <w:rPr>
          <w:color w:val="000000"/>
          <w:shd w:fill="FFFFFF" w:val="clear"/>
        </w:rPr>
        <w:t>—</w:t>
      </w:r>
      <w:r>
        <w:rPr>
          <w:color w:val="000000"/>
        </w:rPr>
        <w:t xml:space="preserve"> </w:t>
      </w:r>
      <w:r>
        <w:rPr>
          <w:rFonts w:ascii="sans-serif" w:hAnsi="sans-serif"/>
          <w:b w:val="false"/>
          <w:color w:val="000000"/>
          <w:sz w:val="20"/>
        </w:rPr>
        <w:t>diluted because either they would have had an anti-dilutive effect on net income per share or they were related to shares from PSUs or from market condition-based RSUs that were contingently issuable, and the contingency had not been satisfied at the end of the reporting period.</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weighted-average potential common shares excluded from our calculation were as follows (in thousands):</w:t>
      </w:r>
    </w:p>
    <w:tbl>
      <w:tblPr>
        <w:tblW w:w="10205" w:type="dxa"/>
        <w:jc w:val="center"/>
        <w:tblInd w:w="0" w:type="dxa"/>
        <w:tblLayout w:type="fixed"/>
        <w:tblCellMar>
          <w:top w:w="28" w:type="dxa"/>
          <w:left w:w="28" w:type="dxa"/>
          <w:bottom w:w="28" w:type="dxa"/>
          <w:right w:w="28" w:type="dxa"/>
        </w:tblCellMar>
      </w:tblPr>
      <w:tblGrid>
        <w:gridCol w:w="1584"/>
        <w:gridCol w:w="1391"/>
        <w:gridCol w:w="1397"/>
        <w:gridCol w:w="510"/>
        <w:gridCol w:w="282"/>
        <w:gridCol w:w="246"/>
        <w:gridCol w:w="246"/>
        <w:gridCol w:w="246"/>
        <w:gridCol w:w="246"/>
        <w:gridCol w:w="510"/>
        <w:gridCol w:w="282"/>
        <w:gridCol w:w="246"/>
        <w:gridCol w:w="109"/>
        <w:gridCol w:w="109"/>
        <w:gridCol w:w="109"/>
        <w:gridCol w:w="452"/>
        <w:gridCol w:w="284"/>
        <w:gridCol w:w="223"/>
        <w:gridCol w:w="223"/>
        <w:gridCol w:w="223"/>
        <w:gridCol w:w="223"/>
        <w:gridCol w:w="452"/>
        <w:gridCol w:w="284"/>
        <w:gridCol w:w="328"/>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r>
      <w:tr>
        <w:trPr/>
        <w:tc>
          <w:tcPr>
            <w:tcW w:w="4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Anti-dilutive securities and contingently issuable shares excluded</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2,820 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1,890 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2,881 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1,718 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NOTE 11. COMMITMENTS AND CONTINGENCIES</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Legal Proceedings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MSN ANDA Litigation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Consolidated lawsuits in the United States District Court for the District of Delaware (the Delaware District Court), numbered Civil Action Nos. 19-02017 and 20-00633 (collectively referred to as MSN I), related to an Abbreviated New Drug Application (ANDA) submitted to the FDA and an amendment thereto by MSN Pharmaceuticals, Inc. (individually and collectively with certain of its affiliates, including MSN Laboratories Private Limited, referred to as MSN), requesting approval to market a generic version of CABOMETYX tablets. The litigation included U.S. Patents No. 7,579,473, composition of matter (the ’473 Patent), 8,497,284, methods of treatment (the ’284 Patent), 8,877,776, salt and polymorphic forms (the ’776 Patent), 9,724,342, formulations (the ’342 Patent), 10,034,873, methods of treatment (the ’873 Patent), and 10,039,757, methods of treatment (the ’757 Patent), which are listed in the Approved Drug Products with Therapeutic Equivalence Evaluations, also referred to as the Orange Book, for CABOMETYX. On January 19, 2023,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2255"/>
                <wp:effectExtent l="0" t="0" r="0" b="0"/>
                <wp:wrapNone/>
                <wp:docPr id="21" name="Frame20"/>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Delaware District Court issued a ruling rejecting MSN’s invalidity challenge to the ’473 Patent. The Delaware District Court also ruled that MSN’s proposed ANDA product does not infringe the ’776 Patent. In accordance with these rulings, the Delaware District Court entered judgment that the effective date of any final FDA approval of MSN’s ANDA shall not be a date earlier than August 14, 2026, the expiration date of the ’473 Patent. Final judgment was entered on January 30, 2023. This ruling in MSN I did not impact our separate MSN II lawsuit (as defined below).</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On January 11, 2022, we received notice from MSN that it had further amended its ANDA to assert additional Paragraph IV certifications. In particular, the January 11, 2022 amended ANDA requested approval to market a generic version of CABOMETYX tablets prior to expiration of three previously-unasserted CABOMETYX patents that are now listed in the Orange Book: U.S. Patents No. 11,091,439, crystalline salt forms (the ’439 Patent), 11,091,440, pharmaceutical composition (the ’440 Patent), and 11,098,015, methods of treatment (the ’015 Patent). On February 23, 2022, we filed a complaint in the Delaware District Court for patent infringement against MSN asserting infringement of the ’439, ’440, and ’015 Patents arising from MSN’s further amendment of its ANDA filing with the FDA. On February 25, 2022, MSN filed its response to the complaint, alleging that the asserted claims of the ’439, ’440, and ’015 Patents are invalid and not infringed. On June 7, 2022, we received notice from MSN that it had further amended its ANDA to assert an additional Paragraph IV certification. As currently amended, MSN’s ANDA now requests approval to market a generic version of CABOMETYX tablets prior to expiration of a previously-unasserted CABOMETYX patent that is now listed in the Orange Book: U.S. Patent No. 11,298,349, pharmaceutical composition (the ’349 Patent). On July 18, 2022, we filed a complaint in the Delaware District Court for patent infringement against MSN asserting infringement of the ’349 Patent arising from MSN’s further amendment of its ANDA filing with the FDA. On August 9, 2022, MSN filed its response to the complaint, alleging that the asserted claims of the ’349 Patent are invalid and not infringed and amended its challenges to the ’439, ’440, and ’015 Patents to allege that these patents are not enforceable based on equitable grounds. The two lawsuits comprising this litigation (collectively referred to as MSN II), numbered Civil Action Nos. 22-00228 and 22-00945, were consolidated in October 2022 and involve Exelixis patents that are different from those asserted in the MSN I litigation described above.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On June 21, 2022, pursuant to a stipulation between us and MSN, the Delaware District Court entered an order that (i) MSN’s submission of its ANDA constitutes infringement of certain claims relating to the ’439, ’440, and ’015 Patents, if those claims are not found to be invalid, and (ii) upon approval, MSN’s commercial manufacture, use, sale or offer for sale within the U.S., and importation into the U.S., of MSN’s proposed ANDA product prior to the expiration of these patents would also infringe certain claims of each patent, if those claims are not found to be invalid. In our MSN II complaints, we sought, among other relief, an order that the effective date of any FDA approval of MSN’s ANDA would be a date no earlier than the expiration of the ’439, ’440, ’015, and ’349 Patents, the latest of which expires on February 10, 2032, and equitable relief enjoining MSN from infringing these patents. On September 28, 2023, the Delaware District Court granted the parties’ stipulation of dismissal of MSN’s equitable defenses and counterclaims. A bench trial occurred in October 2023, and on October 15, 2024, the Delaware District Court issued a ruling rejecting MSN’s invalidity challenge to each of the ’439, ’440, and ’015 Patents. The Delaware District Court also ruled that the ’349 Patent is not invalid and that MSN’s proposed ANDA product does not infringe this patent. In accordance with these rulings, the Delaware District Court entered final judgment on October 23, 2024, that, should the FDA ultimately approve MSN’s ANDA, the effective date of any such approval of MSN’s ANDA shall not be a date earlier than January 15, 2030, the expiration date of each of the ’439, ’440, and ’015 Patents, subject to our potential additional regulatory exclusivity.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On November 22, 2024, MSN noticed an appeal to the Court of Appeals for the Federal Circuit (CAFC) and we noticed a cross-appeal on November 26, 2024. On April 1, 2025, MSN filed its Opening Brief arguing that the asserted claims of the ’439, ’440, ’015, and ’349 Patents are invalid. On June 10, 2025, the CAFC granted our request to dismiss our cross-appeal. On June 11, 2025, we filed our Response Brief. On August 1, 2025, MSN filed its Reply Brief. Oral argument in this matter was held on June 4, 2026.</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In February 2025, we received another notice letter from MSN regarding its ANDA, requesting FDA approval to market a generic version of CABOMETYX tablets. MSN’s notice letter included a Paragraph IV certification with respect to Orange Book-listed patent U.S. Patent No. 12,128,039, low impurity (the ’039 Patent), which expires in 2032. On March 19, 2025, we filed a complaint in the Delaware District Court for patent infringement against MSN asserting infringement of this patent arising from MSN’s further amendment of its ANDA filing with the FDA. On April 10, 2025, MSN filed its response to the complaint, alleging that the asserted claims of the ’039 Patent are invalid, unenforceable, and not infringed. On May 1, 2025, we filed our answer to MSN’s counterclaim. On August 18, 2025, pursuant to a stipulation between us and MSN, the Delaware District Court entered an order that (i) MSN’s submission of its ANDA constitutes infringement of certain claims relating to the ’039 Patent, if those claims are not found to be invalid or unenforceable, and (ii) upon approval, MSN’s commercial manufacture, use, sale or offer for sale within the U.S., and importation into the U.S., of MSN’s proposed ANDA product prior to the expiration of the ’039 Patent would also infringe certain claims of the patent, if those claims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2255"/>
                <wp:effectExtent l="0" t="0" r="0" b="0"/>
                <wp:wrapNone/>
                <wp:docPr id="22" name="Frame21"/>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found to be invalid or unenforceable. This litigation has been consolidated with the Azurity Pharmaceuticals, Inc. (Azurity) litigation for the trial scheduled for November 2, 2026 (Consolidated Litigation). For additional information on the Consolidated Litigation, see “– Legal Proceedings – Consolidated Litigation.” </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Azurity 505(b)(2) NDA Litigation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March 2025, we received a notice letter regarding a 505(b)(2) New Drug Application (NDA) submitted to the FDA by Azurity, requesting approval to market cabozantinib tablets. Azurity’s notice letter included a Paragraph IV certification with respect to the ’776 Patent, the ’342 Patent, the ’873 Patent, the ’757 Patent, the ’439 Patent, the ’440 Patent, the ’015 Patent, the ’349 Patent, and the ’039 Patent which are listed in the Orange Book, for CABOMETYX. On April 18, 2025, we filed a complaint in the Delaware District Court for patent infringement against Azurity asserting infringement of the ’776, ’439, ’440, ’015, ’349, and ’039 Patents. On April 24, 2025, we filed our First Amended Complaint alleging infringement of the same patents. On June 11, 2025, Azurity filed its response to the complaint, alleging that the asserted claims of the patents at issue are not infringed and/or invalid. On July 2, 2025, we filed our answer to Azurity’s counterclaims. On July 28, 2025, Azurity filed motions for judgment on the pleadings regarding the non-infringement of the ’776, ’439, ’440, ’015, ’349, and ’039 Patents. On August 25, 2025, we filed our answering briefs to Azurity’s motions for judgment on the pleadings. On September 15, 2025, Azurity filed its reply briefs. This Azurity litigation was consolidated in the Consolidated Litigation.</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Consolidated Litigation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On August 8, 2025, the Delaware District Court ordered that the then-pending abovementioned MSN and Azurity district court litigations be consolidated with the trial scheduled for November 2, 2026.</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Handa 505(b)(2) NDA Litigation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November 2025, we received a notice letter regarding a 505(b)(2) NDA submitted to the FDA by Handa Oncology, LLC (Handa), requesting approval to market cabozantinib capsules (in the form of cabozantinib lauryl sulfate). Handa’s notice letter included a Paragraph IV certification with respect to the ’776 Patent, the ’342 Patent, the ’873 Patent, the ’757 Patent, the ’439 Patent, the ’440 Patent, the ’015 Patent, the ’349 Patent, and the ’039 Patent which are listed in the Orange Book, for CABOMETYX. Handa’s notice letter also included a Paragraph III certification with respect to the ’473 Patent. In April 2026, we filed a citizen petition with the FDA pursuant to section 505(q) of the Food, Drug, and Cosmetic Act notifying the FDA that Handa’s application raises new questions of safety and effectiveness requiring clinical data to support approval. On April 13, 2026, the FDA issued a letter acknowledging the petition. On July 6, 2026, we filed a complaint in the Delaware District Court for patent infringement against Handa asserting infringement of U.S. Patent Nos. 9,174,947, method of use and process for preparing compounds, 9,365,516, process for preparing compounds, 9,969,692, process for preparing compounds, 10,123,999, process for preparing compounds, and 10,736,886, method of use and process for preparing compounds arising from Handa’s 505(b)(2) NDA filing with the FDA. On July 29, 2026, the FDA granted tentative approval to Handa’s 505(b)(2) NDA.</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Accord ANDA Litigation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May 2026, we received a notice letter regarding an ANDA submitted to the FDA by Intas Pharmaceuticals Ltd. and Accord Healthcare, Inc. (collectively, Accord), requesting approval to market cabozantinib tablets. Accord’s notice letter included a Paragraph IV certification with respect to the ’776 Patent, the ’342 Patent, the ’873 Patent, the ’757 Patent, the ’439 Patent, the ’440 Patent, the ’015 Patent, the ’349 Patent, and the ’039 Patent which are listed in the Orange Book, for CABOMETYX. On July 6, 2026, we filed a complaint in the Delaware District Court for patent infringement against Accord asserting infringement of the ’776, ’439, ’440, ’015, and ’039 Patents arising from Accord’s ANDA filing with the FDA.</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Other</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May 2026, we received a notice letter regarding a 505(b)(2) NDA submitted to the FDA by Almatica Pharma, LLC (Almatica), requesting approval to market cabozantinib tablets (in the form of cabozantinib fumarate). Almatica’s notice letter included a Paragraph IV certification with respect to the ’776 Patent, the ’342 Patent, the ’873 Patent, the ’757 Patent, the ’439 Patent, the ’440 Patent, the ’015 Patent, the ’349 Patent, and the ’039 Patent which are listed in the Orange Book, for CABOMETYX. The company continues to evaluate all legal and strategic options with respect to Almatica’s product.</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The sale of any cabozantinib products, including tablets and/or capsules, besides CABOMETYX significantly earlier than CABOMETYX’s patent expiration could decrease our revenues derived from the U.S. sales of CABOMETYX and thereby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2255"/>
                <wp:effectExtent l="0" t="0" r="0" b="0"/>
                <wp:wrapNone/>
                <wp:docPr id="23" name="Frame22"/>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materially harm our business, financial condition and results of operations. It is not possible at this time to determine the likelihood of an unfavorable outcome or estimate of the amount or range of any potential loss.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may also from time-to-time become a party or subject to various other legal proceedings and claims, either asserted or unasserted, which arise in the ordinary course of business. Some of these proceedings have involved, and may involve in the future, claims that are subject to substantial uncertainties and unascertainable damages.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2. Management’s Discussion and Analysis of Financial Condition and Results of Operations.</w:t>
      </w:r>
    </w:p>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This Quarterly Report on Form 10-Q contains forward-looking statements. These statements are based on Exelixis, Inc.’s (Exelixis, we, our or us) current expectations, assumptions, estimates and projections about our business and our industry and involve known and unknown risks, uncertainties and other factors that may cause our company’s or our industry’s results, levels of activity, performance or achievements to be materially different from any future results, levels of activity, performance or achievements expressed or implied in, or contemplated by, the forward-looking statements. Our actual results and the timing of events may differ significantly from the results discussed in the forward-looking statements. Factors that might cause such a difference include those discussed in “Risk Factors” in Part I, Item 1A of our Annual Report on Form 10-K for the fiscal year ended December 31, 2025, filed with the Securities and Exchange Commission (SEC) on February 10, 2026 (Fiscal 2025 Form 10-K), as supplemented by the information appearing in Part II, Item 1A of our subsequent Quarterly Reports on Form 10-Q as well as those discussed elsewhere in this report. These and many other factors could affect our future financial and operating results. We undertake no obligation to update any forward-looking statement to reflect events after the date of this report. This discussion and analysis should be read in conjunction with our condensed consolidated financial statements and accompanying notes included in this report and the consolidated financial statements and accompanying notes thereto included in the Fiscal 2025 Form 10-K.</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Overview</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are an oncology company innovating next-generation medicines and regimens at the forefront of cancer care. We have produced four marketed pharmaceutical products, two of which are formulations of our flagship molecule, cabozantinib, and we are steadily advancing and evolving our product pipeline portfolio, including our lead clinical asset, zanzalintinib, currently under review by the U.S. Food and Drug Administration (FDA) for the treatment of certain forms of colorectal cancer (CRC), as well as the focus of an extensive late-stage clinical development program in other indications. With a rational and disciplined approach to investment, we are leveraging our internal experience and expertise and the strength of strategic partnerships, to identify and pursue opportunities across the landscape of scientific modalities, including small molecules and biotherapeutics, such as antibody-drug conjugates (ADCs).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Sales related to cabozantinib account for the majority of our revenues. Cabozantinib is an inhibitor of multiple tyrosine kinases, including MET, AXL, VEGF receptors and RET and has been approved by the FDA, and in 69 other countries, for all or a combination of, the following indications: as CABOMETYX® (cabozantinib) tablets for advanced renal cell carcinoma (RCC) (both alone and in combination with Bristol-Myers Squibb Company’s nivolumab (OPDIVO®)), previously treated hepatocellular carcinoma (HCC), previously treated, RAI-refractory differentiated thyroid cancer (DTC) and previously treated, unresectable, locally advanced or metastatic, well-differentiated pancreatic neuroendocrine tumors (pNET) and extra-pancreatic neuroendocrine tumors (epNET); and as COMETRIQ® (cabozantinib) capsules for progressive, metastatic medullary thyroid cancer. For physicians treating these types of cancer, cabozantinib has become or is becoming an important medicine in their selection of effective therapies.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other two products resulting from our discovery efforts are: COTELLIC® (cobimetinib), an inhibitor of MEK, approved as part of multiple combination regimens to treat specific forms of advanced melanoma and marketed under a collaboration with Genentech (a member of the Roche Group); and MINNEBRO® (esaxerenone), an oral, non-steroidal, selective blocker of the mineralocorticoid receptor, approved for the treatment of hypertension in Japan and licensed to Daiichi Sankyo Company, Limited.</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We plan to continue leveraging our operating cash flows to advance a broad array of diverse biotherapeutics and small molecule programs for the treatment of cancer, as well as to support company-sponsored and externally sponsored clinical trials evaluating cabozantinib and zanzalintinib, a novel oral inhibitor of kinases including the TAM kinases (TYRO3, AXL, MER), MET and VEGF receptors. Our zanzalintinib development program includes a series of ongoing and planned pivotal trials to explore its therapeutic potential in CRC, clear cell (cc) and non-clear cell (ncc) RCC, and neuroendocrine tumors (NET), as well as earlier-stage trials in meningioma, lung cancer and castration-resistant prostate cancer. Our pipeline programs in phase 1 development each have best-in-class potential and include: XL309, a small molecule inhibitor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2255"/>
                <wp:effectExtent l="0" t="0" r="0" b="0"/>
                <wp:wrapNone/>
                <wp:docPr id="24" name="Frame23"/>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of USP1, which has emerged as a synthetic lethal target in the context of BRCA-mutated tumors; XB010, an ADC consisting of a MMAE payload conjugated to a mAb targeting the tumor antigen 5T4; XB628, a first-in-class bispecific antibody that simultaneously targets PD-L1 and NKG2A, identified as key regulators of adaptive and innate immune cell activity; and XB371, a next-generation tissue factor (TF)-targeting ADC with a topoisomerase inhibitor payload. We complement our internal drug discovery and development efforts by in-licensing or acquiring, or obtaining options to in-license or acquire, investigational oncology assets from third parties if those oncology assets demonstrate evidence of, or potential for, clinical success. </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Cabozantinib Franchise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FDA first approved CABOMETYX in the U.S. as a monotherapy for previously treated patients with advanced RCC in April 2016, and then for previously untreated patients with advanced RCC in December 2017. In January 2021, the CABOMETYX label was expanded to include first-line advanced RCC in combination with nivolumab, which was the first CABOMETYX regimen approved for treatment in combination with an immune checkpoint inhibitor (ICI). In addition to RCC, in January 2019, the FDA approved CABOMETYX for the treatment of patients with HCC previously treated with sorafenib, and in September 2021, the FDA approved CABOMETYX for the treatment of adult and pediatric patients 12 years of age and older with locally advanced or metastatic DTC that has progressed following prior VEGF receptor-targeted therapy and who are RAI-refractory or ineligible. In March 2025, the FDA approved CABOMETYX for the treatment of adult and pediatric patients 12 years of age and older with previously treated, unresectable, locally advanced or metastatic, well-differentiated pNET and epNET.</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Inflation Reduction Act of 2022 (IRA) introduced numerous substantial changes to drug pricing, reimbursement and access support in the U.S., including enabling the Centers for Medicare &amp; Medicaid Services (CMS) to assert control over the prices of certain single-source drugs and biotherapeutics reimbursed under Medicare Part B and Part D (the Medicare Drug Price Negotiation Program). CMS has begun to announce rounds of drugs eligible for negotiation and establish so-called “Maximum Fair Prices” (MFP) under the Medicare Drug Price Negotiation Program. The IRA also contains a limited exception for small biotech drug manufacturers, which applies on a drug-specific basis, and provides that qualifying drugs will be exempt from possible pricing negotiation through 2028 and eligible for a lower limit (i.e., a price floor) on the potential MFP in 2029 and 2030, if the manufacturers of those drugs continue to qualify each year (small biotech exception). We have qualified for the small biotech exception with respect to our cabozantinib franchise products through Initial Price Applicability Year (IPAY) 2028. We also intend to apply to CMS to maintain our small biotech exception and price floor each subsequent year through 2030. Separately, in December 2024, CMS released final guidance on another program, the Medicare Part D Manufacturer Discount Program (Part D Discount Program), which requires manufacturers to take on more of the beneficiary cost previously subsidized by the federal government through the application of increased drug discounts. We have since received notice from CMS that we qualify for the "specified small manufacturer” designation and are thereby eligible for a phase-in of the increased manufacturer discounts under the Part D Discount Program, from 2025 to 2031. In April 2026, CMS also issued a final rule on the Part D Discount Program that largely codifies the final guidance. The IRA also imposes additional rebates for certain Part B and Part D drugs where relevant pricing metrics associated with the products increase faster than inflation.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There have also been proposals from the current U.S. administration that aim to lower prescription drug costs. Central among these proposals is the most favored nation (“MFN”) drug pricing policy, which seeks to equalize the prices of drugs in the U.S. with the prices of those drugs in other developed countries. In 2025, an executive order directed the Department of Health and Human Services (HHS) and other federal agencies to implement MFN pricing through new models and potential regulatory actions. CMS has since announced pilot programs under both the Medicare and Medicaid Programs designed to apply MFN pricing principles to drug reimbursement. The pilot programs would tie reimbursement rates for certain covered drugs to lower prices observed in comparable international markets, though the full scope, timing and impact of these initiatives remain uncertain. Separately, on April 2, 2026, the administration issued a Proclamation under Section 232 of the Trade Expansion Act of 1962, imposing tariffs of up to 100% on certain imported patented pharmaceuticals and pharmaceutical ingredients, subject to exceptions for companies that have reached or are negotiating an MFN agreement, among other exceptions. Adoption of these programs and other measures could limit reimbursement of pharmaceuticals. As a result, the business case for any product that receives regulatory approval for commercial sale in the U.S. may be negatively impacted if the government and third-party payers fail to provide adequate coverage and reimbursement.</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To develop and commercialize cabozantinib outside the U.S., we have entered into license agreements with Ipsen Pharma SAS (Ipsen) and Takeda Pharmaceutical Company Limited (Takeda). To Ipsen, we granted the rights to develop and commercialize cabozantinib outside of the U.S. and Japan, and to Takeda we granted such rights in Japan. Both Ipsen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2255"/>
                <wp:effectExtent l="0" t="0" r="0" b="0"/>
                <wp:wrapNone/>
                <wp:docPr id="25" name="Frame24"/>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Takeda also contribute financially and operationally to the further global development and commercialization of the cabozantinib franchise, and we work closely with them on these activities. Utilizing its regulatory expertise and established international oncology marketing network, Ipsen has continued to execute on its commercialization plans for CABOMETYX, having received regulatory approvals and launched in multiple territories outside of the U.S., including in the European Economic Area (EEA), which covers all 27 member states of the European Union and Norway, Liechtenstein and Iceland, the United Kingdom and Canada, as a treatment for advanced RCC (both as a monotherapy and in combination with nivolumab) and for previously treated HCC and DTC indications. In July 2025, Ipsen received approval for CABOMETYX as a treatment for previously treated, well-differentiated/unresectable, locally advanced, or metastatic pNET or epNET (with local labeling variations) from the European Commission (EC) for the EEA, and health regulatory authorities in Brazil and Australia, and from health regulatory authorities in Switzerland in October 2025 and Singapore in December 2025. With respect to the Japanese market, Takeda received Manufacturing and Marketing Approvals from the Japanese Pharmaceuticals and Medical Devices Agency for monotherapy CABOMETYX as a treatment of patients with curatively unresectable or metastatic RCC and as a treatment of patients with unresectable HCC that has progressed after cancer chemotherapy, as well as for CABOMETYX in combination with nivolumab as a treatment for unresectable or metastatic RCC.</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Pipeline Activities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Small Molecule Programs</w:t>
      </w:r>
    </w:p>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Zanzalintinib</w:t>
      </w:r>
    </w:p>
    <w:p>
      <w:pPr>
        <w:pStyle w:val="TextBody"/>
        <w:bidi w:val="0"/>
        <w:spacing w:lineRule="auto" w:line="288" w:before="180" w:after="283"/>
        <w:ind w:left="0" w:right="0" w:firstLine="720"/>
        <w:jc w:val="left"/>
        <w:rPr/>
      </w:pPr>
      <w:r>
        <w:rPr>
          <w:rFonts w:ascii="sans-serif" w:hAnsi="sans-serif"/>
          <w:b w:val="false"/>
          <w:color w:val="000000"/>
          <w:sz w:val="20"/>
        </w:rPr>
        <w:t xml:space="preserve">Zanzalintinib is a novel oral inhibitor of kinases including the TAM kinases (TYRO3, AXL, MER), MET and VEGF receptors, which are implicated in cancer’s growth and spread. </w:t>
      </w:r>
      <w:r>
        <w:rPr>
          <w:rFonts w:ascii="sans-serif" w:hAnsi="sans-serif"/>
          <w:b w:val="false"/>
          <w:color w:val="000000"/>
          <w:sz w:val="20"/>
          <w:shd w:fill="FFFFFF" w:val="clear"/>
        </w:rPr>
        <w:t xml:space="preserve">We are evaluating zanzalintinib in a robust and growing development program that builds on our prior experience with cabozantinib and targets indications with high unmet need. We have established collaborations and will continue to explore additional opportunities for novel combinations with zanzalintinib. To date, we have initiated two large phase 1b/2 clinical trials and one phase 2 clinical trial studying zanzalintinib as a monotherapy and/or in combination with other therapies, including ICIs (STELLAR-001, STELLAR-002, and STELLAR-201). Patient enrollment into STELLAR-001 was completed in 2023 and preliminary results from a randomized expansion cohort of patients with metastatic CRC were presented at the </w:t>
      </w:r>
      <w:r>
        <w:rPr>
          <w:rFonts w:ascii="sans-serif" w:hAnsi="sans-serif"/>
          <w:b w:val="false"/>
          <w:color w:val="000000"/>
          <w:sz w:val="20"/>
        </w:rPr>
        <w:t>American Society of Clinical Oncology (ASCO) Gastrointestinal Cancers Symposium in January 2025</w:t>
      </w:r>
      <w:r>
        <w:rPr>
          <w:rFonts w:ascii="sans-serif" w:hAnsi="sans-serif"/>
          <w:b w:val="false"/>
          <w:color w:val="000000"/>
          <w:sz w:val="20"/>
          <w:shd w:fill="FFFFFF" w:val="clear"/>
        </w:rPr>
        <w:t>.</w:t>
      </w:r>
      <w:r>
        <w:rPr>
          <w:color w:val="000000"/>
        </w:rPr>
        <w:t xml:space="preserve"> </w:t>
      </w:r>
      <w:r>
        <w:rPr>
          <w:rFonts w:ascii="sans-serif" w:hAnsi="sans-serif"/>
          <w:b w:val="false"/>
          <w:color w:val="000000"/>
          <w:sz w:val="20"/>
          <w:shd w:fill="FFFFFF" w:val="clear"/>
        </w:rPr>
        <w:t xml:space="preserve">In May 2025, preliminary results from an expansion cohort of patients with previously untreated advanced ccRCC from STELLAR-002 were presented at the 2025 ASCO Annual Meeting, along with data from multiple dose-escalation cohorts. In May 2026, we announced an expansion cohort for STELLAR-002 evaluating zanzalintinib in combination with docetaxel in metastatic castration-resistant prostate cancer (mCRPC) patients with measurable disease. </w:t>
      </w:r>
      <w:r>
        <w:rPr>
          <w:rFonts w:ascii="sans-serif" w:hAnsi="sans-serif"/>
          <w:b w:val="false"/>
          <w:color w:val="000000"/>
          <w:sz w:val="20"/>
        </w:rPr>
        <w:t>In August 2026, we announced an additional expansion cohort for STELLAR-002 evaluating zanzalintinib monotherapy in patients with metastatic bladder cancer who have progressed following treatment with enfortumab vedotin and pembrolizumab. Both the bladder cancer and mCRPC expansion cohorts for STELLAR-002 have been initiated and enrollment is ongoing.</w:t>
      </w:r>
    </w:p>
    <w:p>
      <w:pPr>
        <w:pStyle w:val="TextBody"/>
        <w:bidi w:val="0"/>
        <w:spacing w:lineRule="auto" w:line="288" w:before="180" w:after="283"/>
        <w:ind w:left="0" w:right="0" w:firstLine="720"/>
        <w:jc w:val="left"/>
        <w:rPr>
          <w:rFonts w:ascii="sans-serif" w:hAnsi="sans-serif"/>
          <w:b w:val="false"/>
          <w:color w:val="000000"/>
          <w:sz w:val="20"/>
          <w:shd w:fill="FFFFFF" w:val="clear"/>
        </w:rPr>
      </w:pPr>
      <w:r>
        <w:rPr>
          <w:rFonts w:ascii="sans-serif" w:hAnsi="sans-serif"/>
          <w:b w:val="false"/>
          <w:color w:val="000000"/>
          <w:sz w:val="20"/>
          <w:shd w:fill="FFFFFF" w:val="clear"/>
        </w:rPr>
        <w:t>In April 2026, we initiated STELLAR-201, a phase 2 trial evaluating zanzalintinib in patients with recurrent Grade I/II/III meningioma with relapse or progression following radiation and/or surgery or those who are not candidates for these therapies. The primary endpoint of the trial is objective response rate (ORR), with secondary endpoints including progression-free survival (PFS), duration of response (DOR) and OS. Enrollment is currently ongoing.</w:t>
      </w:r>
    </w:p>
    <w:p>
      <w:pPr>
        <w:pStyle w:val="TextBody"/>
        <w:bidi w:val="0"/>
        <w:spacing w:lineRule="auto" w:line="288" w:before="180" w:after="283"/>
        <w:ind w:left="0" w:right="0" w:firstLine="720"/>
        <w:jc w:val="left"/>
        <w:rPr/>
      </w:pPr>
      <w:r>
        <w:rPr>
          <w:rFonts w:ascii="sans-serif" w:hAnsi="sans-serif"/>
          <w:b w:val="false"/>
          <w:color w:val="000000"/>
          <w:sz w:val="20"/>
          <w:shd w:fill="FFFFFF" w:val="clear"/>
        </w:rPr>
        <w:t xml:space="preserve">We also have three ongoing pivotal trials, two evaluating zanzalintinib in combination with ICIs and one evaluating zanzalintinib as a monotherapy. Our first such trial, STELLAR-303, was initiated in June 2022 and is evaluating zanzalintinib in combination with atezolizumab versus regorafenib in patients with metastatic, refractory non-microsatellite instability high or non-mismatch repair-deficient CRC. In June 2025, we announced positive top-line results in the first dual primary endpoint demonstrating a statistically significant improvement in overall survival (OS) versus regorafenib in the intention-to-treat (ITT) population, and in October 2025, announced that the study demonstrated a 20% reduction in the risk of death versus regorafenib in the ITT population at the final analysis (stratified hazard ratio [HR]: 0.80; 95% confidence interval [CI]: 0.69-0.93; P=0.0045). Detailed findings from the study, including OS and PFS in the ITT population and in the subset of patients without active liver metastases (non-liver metastases, NLM), were presented at the </w:t>
      </w:r>
      <w:r>
        <w:rPr>
          <w:rFonts w:ascii="sans-serif" w:hAnsi="sans-serif"/>
          <w:b w:val="false"/>
          <w:color w:val="000000"/>
          <w:sz w:val="20"/>
        </w:rPr>
        <w:t>2025 European Society for Medical Oncology Congress in October 2025</w:t>
      </w:r>
      <w:r>
        <w:rPr>
          <w:color w:val="000000"/>
          <w:shd w:fill="FFFFFF" w:val="clear"/>
        </w:rPr>
        <w:t xml:space="preserve"> </w:t>
      </w:r>
      <w:r>
        <w:rPr>
          <w:rFonts w:ascii="sans-serif" w:hAnsi="sans-serif"/>
          <w:b w:val="false"/>
          <w:color w:val="000000"/>
          <w:sz w:val="20"/>
          <w:shd w:fill="FFFFFF" w:val="clear"/>
        </w:rPr>
        <w:t xml:space="preserve">and simultaneously published in </w:t>
      </w:r>
      <w:r>
        <w:rPr>
          <w:rFonts w:ascii="sans-serif" w:hAnsi="sans-serif"/>
          <w:b w:val="false"/>
          <w:i/>
          <w:color w:val="000000"/>
          <w:sz w:val="20"/>
        </w:rPr>
        <w:t>The Lancet</w:t>
      </w:r>
      <w:r>
        <w:rPr>
          <w:rFonts w:ascii="sans-serif" w:hAnsi="sans-serif"/>
          <w:b w:val="false"/>
          <w:color w:val="000000"/>
          <w:sz w:val="20"/>
        </w:rPr>
        <w:t>.</w:t>
      </w:r>
      <w:r>
        <w:rPr>
          <w:color w:val="000000"/>
          <w:shd w:fill="FFFFFF" w:val="clear"/>
        </w:rPr>
        <w:t xml:space="preserve"> </w:t>
      </w:r>
      <w:r>
        <w:rPr>
          <w:rFonts w:ascii="sans-serif" w:hAnsi="sans-serif"/>
          <w:b w:val="false"/>
          <w:color w:val="000000"/>
          <w:sz w:val="20"/>
        </w:rPr>
        <w:t xml:space="preserve">In December 2025, we submitted a New Drug Application (NDA) to the FDA for zanzalintinib in combination with atezolizumab for the treatment of previously treated metastatic colorectal cancer. In February 2026, we announced that the FDA had accepted our NDA and assigned a standard review, with a Prescription Drug User Fee Act (PDUFA) target action date of December 3, 2026. In June 2026, we announced results from the final analysis of the other dual primary endpoint of OS in the NLM subpopulation showing a non-statistically significant trend in OS favoring the combination in the NLM subpopulation (stratified HR: 0.83; 95% CI: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2255"/>
                <wp:effectExtent l="0" t="0" r="0" b="0"/>
                <wp:wrapNone/>
                <wp:docPr id="26" name="Frame25"/>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0.66–1.05; P=0.1185), with median OS values of 15.9 months with zanzalintinib in combination with atezolizumab, and 12.7 months with regorafenib. We intend to present detailed findings at a future medical conference.</w:t>
      </w:r>
    </w:p>
    <w:p>
      <w:pPr>
        <w:pStyle w:val="TextBody"/>
        <w:bidi w:val="0"/>
        <w:spacing w:lineRule="auto" w:line="288" w:before="180" w:after="283"/>
        <w:ind w:left="0" w:right="0" w:firstLine="720"/>
        <w:jc w:val="left"/>
        <w:rPr>
          <w:rFonts w:ascii="sans-serif" w:hAnsi="sans-serif"/>
          <w:b w:val="false"/>
          <w:color w:val="000000"/>
          <w:sz w:val="20"/>
          <w:shd w:fill="FFFFFF" w:val="clear"/>
        </w:rPr>
      </w:pPr>
      <w:r>
        <w:rPr>
          <w:rFonts w:ascii="sans-serif" w:hAnsi="sans-serif"/>
          <w:b w:val="false"/>
          <w:color w:val="000000"/>
          <w:sz w:val="20"/>
          <w:shd w:fill="FFFFFF" w:val="clear"/>
        </w:rPr>
        <w:t>The second pivotal trial, STELLAR-304, was initiated in December 2022 and is evaluating zanzalintinib in combination with nivolumab versus sunitinib in previously untreated patients with advanced nccRCC. The primary efficacy endpoints for STELLAR-304 are blinded independent radiology committee-assessed PFS and ORR per RECIST 1.1. The secondary efficacy endpoint is OS. We expect top-line results in the second half of 2026, depending on event rates.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June 2025, we initiated STELLAR-311, a phase 2/3 pivotal trial evaluating zanzalintinib versus everolimus in patients with advanced NET, regardless of site of origin, who had received up to one prior line of therapy. The primary endpoint of the trial is PFS per RECIST 1.1 as assessed by blinded independent central review. Enrollment is currently ongoing.</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Beyond STELLAR-001, STELLAR-002, STELLAR-201, STELLAR-303, STELLAR-304 and STELLAR-311, we intend to initiate additional early-stage and pivotal trials evaluating zanzalintinib across a broad array of potential future indications, including STELLAR-316, a planned phase 3 pivotal trial, in collaboration with Natera, Inc. (Natera) and Merck (known as MSD outside of the United States and Canada), which we anticipate will commence in mid-2026. STELLAR-316 will evaluate zanzalintinib, with and without KEYTRUDA QLEX™ (pembrolizumab and berahyaluronidase alfa-pmph) (KEYTRUDA QLEX is marketed outside the U.S. as KEYTRUDA SC™), in patients with resected stage II/III CRC who, following completion of definitive therapy, have tested positive for molecular residual disease (MRD+) and have no radiographic evidence of disease. Merck will supply KEYTRUDA QLEX and Natera will provide its Signatera™ assay to identify MRD+ patients for trial enrollment. Also, in May 2026, we announced STELLAR-202, a planned phase 2 trial evaluating zanzalintinib in combination with pembrolizumab in the maintenance setting in squamous non-small cell lung cancer, which we expect to initiate in the second half of 2026.</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To further expand our exploration of the clinical potential of zanzalintinib, pursuant to a clinical development collaboration, Merck is sponsoring: KEYMAKER-U03 (a phase 1/2 trial evaluating zanzalintinib in combination with WELIREG® (belzutifan), Merck's oral HIF-2α inhibitor, in RCC); LITESPARK-033 (a phase 3 trial, initiated in December 2025, evaluating zanzalintinib in combination with WELIREG versus cabozantinib in first-line advanced RCC following an immunotherapy administered in the adjuvant setting); and LITESPARK-034 (a phase 3 trial, initiated in April 2026, evaluating the combination of zanzalintinib and WELIREG versus WELIREG and placebo in second-line or later advanced RCC patients who have progressed on or after both programmed death-1/ligand 1 (PD-1/L1) and vascular endothelial growth factor receptor-tyrosine kinase inhibitor (VEGFR-TKI) therapies in sequence or in combination). Merck will fund one of these phase 3 studies and we will co-fund the phase 1/2 study and the other phase 3 study, as well as supply zanzalintinib and cabozantinib. Under the collaboration, we continue to retain all global commercial and marketing rights to zanzalintinib.</w:t>
      </w:r>
    </w:p>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Other Small Molecules</w:t>
      </w:r>
    </w:p>
    <w:p>
      <w:pPr>
        <w:pStyle w:val="TextBody"/>
        <w:bidi w:val="0"/>
        <w:spacing w:lineRule="auto" w:line="288" w:before="180" w:after="283"/>
        <w:ind w:left="0" w:right="0" w:firstLine="720"/>
        <w:jc w:val="left"/>
        <w:rPr/>
      </w:pPr>
      <w:r>
        <w:rPr>
          <w:rFonts w:ascii="sans-serif" w:hAnsi="sans-serif"/>
          <w:b w:val="false"/>
          <w:color w:val="000000"/>
          <w:sz w:val="20"/>
        </w:rPr>
        <w:t xml:space="preserve">The knowledge and experience gained through our efforts to discover cabozantinib, cobimetinib and esaxerenone, each of which were approved by regulatory authorities and are commercially distributed, informs our current strategy for discovering and developing additional small molecules with the potential to treat cancer, including XL309, a potentially best-in-class small molecule inhibitor of USP1, a synthetic lethal target in the context of BRCA-mutated tumors. XL309 is </w:t>
      </w:r>
      <w:r>
        <w:rPr>
          <w:rFonts w:ascii="sans-serif" w:hAnsi="sans-serif"/>
          <w:b w:val="false"/>
          <w:color w:val="000000"/>
          <w:sz w:val="20"/>
          <w:shd w:fill="FFFFFF" w:val="clear"/>
        </w:rPr>
        <w:t>currently being evaluated in a phase 1 clinical trial as monotherapy and in combination with PARP1/2 inhibition in patients with advanced solid tumors and enrollment is ongoing. XL309 has potential in patients whose tumors are no longer responsive to PARPi, including ovarian, breast and prostate cancers. XL309 also has potential in combination with PARPi agents to deepen and prolong the response seen to PARPi, as well as to broaden the activity beyond that observed in patients with tumors that harbor a BRCA1/2 mutation. We also expect to progress a development candidate from our somatostatin receptor subtype 2 agonist program toward a potential investigational new drug (IND) filing in 2026</w:t>
      </w:r>
      <w:r>
        <w:rPr>
          <w:rFonts w:ascii="sans-serif" w:hAnsi="sans-serif"/>
          <w:b w:val="false"/>
          <w:color w:val="000000"/>
          <w:sz w:val="20"/>
        </w:rPr>
        <w:t>.</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Beyond these small molecule assets, we continue to make progress on multiple lead optimization programs for molecules that address a variety of targets, and that we believe have significant potential for clinical differentiation. We anticipate that some of these other programs could reach development candidate status in 2026 and beyond.</w:t>
      </w:r>
    </w:p>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Biotherapeutics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Part of our drug discovery activity focuses on discovering and advancing various biotherapeutics that have the potential to become anti-cancer therapies, such as bispecific antibodies, ADCs and other innovative treatments. ADCs in particular present a unique opportunity for new cancer treatments, given their capabilities to target the delivery of anti-cancer drug payloads to specific cells expressing the target; this increased precision should minimize collateral impact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2255"/>
                <wp:effectExtent l="0" t="0" r="0" b="0"/>
                <wp:wrapNone/>
                <wp:docPr id="27" name="Frame26"/>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healthy tissues that do not express the target. To facilitate the growth of our various biotherapeutics programs, we have established multiple research collaborations and in-licensing arrangements and entered into other strategic transactions, aimed at conserving capital and managing risks, that provide us with access to antibodies, binders, payloads and conjugation technologies, which are the components employed to generate next-generation ADCs or multispecific antibodies. We have also established laboratories for discovery of novel biologics with capabilities in antibody engineering, ADC chemistry, bioanalysis and preclinical testing.</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As part of our strategy to access clinical- or near-clinical-stage assets, we executed an exclusive option and license agreement and clinical development collaboration with Sairopa B.V. (Sairopa) to develop ADU-1805. ADU-1805 is currently being evaluated in a phase 1 clinical trial in patients with advanced or metastatic refractory solid tumors, as monotherapy and in combination with pembrolizumab. Enrollment is ongoing.</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have made significant progress under our other research collaborations and in-licensing arrangements and believe we will continue to do so in 2026 and in future years. For example, in April 2025, we initiated the phase 1 study of XB628, a first-in-class bispecific antibody, and in August 2025, we initiated a phase 1 study of XB371, a next-generation TF-targeting ADC with a topoisomerase inhibitor payload. We also expect to progress XB773, an ADC targeting the tumor antigen DLL3 toward a potential IND filing in 2026. Each of these biotherapeutics was discovered, in part, in connection with our research collaborations and in-licensing agreements.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Beyond these biotherapeutics assets, we continue to make progress on multiple preclinical programs for molecules that address a variety of targets, and that we believe have significant potential for clinical differentiation. We anticipate that some of these other programs could reach development candidate status in 2027 and beyond.</w:t>
      </w:r>
    </w:p>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Future Expansion of our Pipeline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Increasing the number of novel anti-cancer agents in our pipeline is essential to our overall strategy and business goals. We are working to expand our oncology product pipeline through drug discovery efforts, which encompass our diverse biotherapeutics and small molecule programs exploring multiple modalities and mechanisms of action. This approach provides a high degree of flexibility with respect to target selection and modality of treatment and allows us to prioritize those programs that we believe have the greatest chance of producing impactful therapeutics. As part of our strategy, our drug discovery activities have and will continue to include internal research, as well as external research collaborations, in-licensing arrangements and other strategic transactions that collectively leverage a wide range of technology platforms and assets and increase our probability of success. As of the date of this Quarterly Report on Form 10-Q, we expect to progress up to two new development candidates into preclinical development during 2026. We will continue to engage in pipeline expansion initiatives with the goal of discovering, acquiring and/or in-licensing promising investigational oncology assets and then further characterizing and developing them utilizing our established preclinical and clinical development infrastructure.</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Second Quarter 2026 Business Updates and Financial Highlights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During the second quarter of 2026, we continued to execute on our business objectives, generating significant revenues from operations and enabling us to continue to seek to maximize the clinical and commercial potential of our products and expand our product pipeline. Significant business updates and financial highlights for the quarter and subsequent to quarter-end include:</w:t>
      </w:r>
    </w:p>
    <w:p>
      <w:pPr>
        <w:pStyle w:val="TextBody"/>
        <w:bidi w:val="0"/>
        <w:spacing w:lineRule="auto" w:line="288" w:before="180" w:after="283"/>
        <w:ind w:left="0" w:right="0" w:firstLine="360"/>
        <w:jc w:val="left"/>
        <w:rPr>
          <w:rFonts w:ascii="sans-serif" w:hAnsi="sans-serif"/>
          <w:b/>
          <w:i/>
          <w:color w:val="000000"/>
          <w:sz w:val="20"/>
        </w:rPr>
      </w:pPr>
      <w:r>
        <w:rPr>
          <w:rFonts w:ascii="sans-serif" w:hAnsi="sans-serif"/>
          <w:b/>
          <w:i/>
          <w:color w:val="000000"/>
          <w:sz w:val="20"/>
        </w:rPr>
        <w:t>Business Updates</w:t>
      </w:r>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In April 2026, we initiated STELLAR-201, a phase 2 trial evaluating zanzalintinib in patients with recurrent Grade I/II/III meningioma with relapse or progression following radiation and/or surgery or those who are not candidates for radiation and/or surgery. The primary endpoint of the trial is ORR, with secondary endpoints including PFS, DOR and OS.</w:t>
      </w:r>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In May 2026, we announced two additional zanzalintinib studies: STELLAR-202, a planned phase 2 trial evaluating zanzalintinib in combination with pembrolizumab in the maintenance setting in squamous non-small cell lung cancer, and an additional expansion cohort in the ongoing phase 1b/2 STELLAR-002 study evaluating zanzalintinib in combination with docetaxel in mCRPC patients with measurable disease. In August 2026, we announced an additional expansion cohort for STELLAR-002 evaluating zanzalintinib monotherapy in patients with metastatic bladder cancer who have progressed following treatment with enfortumab vedotin and pembrolizumab. Both the bladder cancer and mCRPC expansion cohorts for STELLAR-002 have been initiated and enrollment is ongoing. We expect to initiate STELLAR-202 in the second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62255"/>
                <wp:effectExtent l="0" t="0" r="0" b="0"/>
                <wp:wrapNone/>
                <wp:docPr id="28" name="Frame27"/>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In May 2026, we announced a clinical development collaboration with Merck for the supply of KEYTRUDA QLEX for STELLAR-316, a planned phase 3 pivotal trial, which will evaluate zanzalintinib, with and without KEYTRUDA QLEX, in patients with resected stage II/III CRC who, following completion of definitive therapy, have tested positive for MRD+ and have no radiographic evidence of disease.</w:t>
      </w:r>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In May 2026, we presented results from a subgroup analysis of the phase 3 CABINET pivotal trial at the 2026 ASCO Annual Meeting. Several presentations highlighting ongoing studies evaluating CABOMETYX or zanzalintinib in diverse tumor types were also the subject of presentation at the meeting.</w:t>
      </w:r>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In June 2026, we announced results from the final analysis of the dual primary endpoint of OS in the NLM subpopulation in the phase 3 STELLAR-303 pivotal trial, showing a non-statistically significant trend in OS favoring the combination of zanzalintinib and atezolizumab in the NLM subpopulation. Detailed results are expected to be presented at a future medical conference.</w:t>
      </w:r>
    </w:p>
    <w:p>
      <w:pPr>
        <w:pStyle w:val="TextBody"/>
        <w:bidi w:val="0"/>
        <w:spacing w:lineRule="auto" w:line="288" w:before="60" w:after="283"/>
        <w:ind w:left="0" w:right="0" w:hanging="252"/>
        <w:jc w:val="left"/>
        <w:rPr/>
      </w:pPr>
      <w:r>
        <w:rPr>
          <w:color w:val="000000"/>
        </w:rPr>
        <w:t>•</w:t>
      </w:r>
      <w:r>
        <w:rPr>
          <w:rFonts w:ascii="sans-serif" w:hAnsi="sans-serif"/>
          <w:b w:val="false"/>
          <w:color w:val="000000"/>
          <w:sz w:val="20"/>
        </w:rPr>
        <w:t>In October 2025, our Board of Directors authorized a stock repurchase program (SRP) for the repurchase of up to $750 million of our outstanding common stock before December 31, 2026 (the October 2025 SRP). In May 2026, our Board of Directors authorized the repurchase of up to an additional $750 million of our outstanding common stock before December 31, 2027 (the May 2026 SRP). Under these SRPs, as of June 30, 2026, we have repurchased $902.2 million of our common stock, at an average price of $44.66 per share and have completed the October 2025 SRP.</w:t>
      </w:r>
    </w:p>
    <w:p>
      <w:pPr>
        <w:pStyle w:val="TextBody"/>
        <w:bidi w:val="0"/>
        <w:spacing w:lineRule="auto" w:line="288" w:before="180" w:after="283"/>
        <w:ind w:left="0" w:right="0" w:firstLine="360"/>
        <w:jc w:val="left"/>
        <w:rPr>
          <w:rFonts w:ascii="sans-serif" w:hAnsi="sans-serif"/>
          <w:b/>
          <w:i/>
          <w:color w:val="000000"/>
          <w:sz w:val="20"/>
        </w:rPr>
      </w:pPr>
      <w:r>
        <w:rPr>
          <w:rFonts w:ascii="sans-serif" w:hAnsi="sans-serif"/>
          <w:b/>
          <w:i/>
          <w:color w:val="000000"/>
          <w:sz w:val="20"/>
        </w:rPr>
        <w:t>Financial Highlights</w:t>
      </w:r>
    </w:p>
    <w:p>
      <w:pPr>
        <w:pStyle w:val="TextBody"/>
        <w:bidi w:val="0"/>
        <w:spacing w:lineRule="auto" w:line="288" w:before="60" w:after="283"/>
        <w:ind w:left="0" w:right="0" w:hanging="252"/>
        <w:jc w:val="left"/>
        <w:rPr/>
      </w:pPr>
      <w:r>
        <w:rPr>
          <w:color w:val="000000"/>
          <w:shd w:fill="FFFFFF" w:val="clear"/>
        </w:rPr>
        <w:t>•</w:t>
      </w:r>
      <w:r>
        <w:rPr>
          <w:rFonts w:ascii="sans-serif" w:hAnsi="sans-serif"/>
          <w:b w:val="false"/>
          <w:color w:val="000000"/>
          <w:sz w:val="20"/>
        </w:rPr>
        <w:t>Net product revenues for the second quarter of 2026 were $573.0 million, as compared to $520.0 million for the second quarter of 2025.</w:t>
      </w:r>
    </w:p>
    <w:p>
      <w:pPr>
        <w:pStyle w:val="TextBody"/>
        <w:bidi w:val="0"/>
        <w:spacing w:lineRule="auto" w:line="288" w:before="60" w:after="283"/>
        <w:ind w:left="0" w:right="0" w:hanging="252"/>
        <w:jc w:val="left"/>
        <w:rPr/>
      </w:pPr>
      <w:r>
        <w:rPr>
          <w:color w:val="000000"/>
          <w:shd w:fill="FFFFFF" w:val="clear"/>
        </w:rPr>
        <w:t>•</w:t>
      </w:r>
      <w:r>
        <w:rPr>
          <w:rFonts w:ascii="sans-serif" w:hAnsi="sans-serif"/>
          <w:b w:val="false"/>
          <w:color w:val="000000"/>
          <w:sz w:val="20"/>
        </w:rPr>
        <w:t>Total revenues for the second quarter of 2026 were $628.7 million, as compared to $568.3 million for the second quarter of 2025.</w:t>
      </w:r>
    </w:p>
    <w:p>
      <w:pPr>
        <w:pStyle w:val="TextBody"/>
        <w:bidi w:val="0"/>
        <w:spacing w:lineRule="auto" w:line="288" w:before="60" w:after="283"/>
        <w:ind w:left="0" w:right="0" w:hanging="252"/>
        <w:jc w:val="left"/>
        <w:rPr/>
      </w:pPr>
      <w:r>
        <w:rPr>
          <w:color w:val="000000"/>
          <w:shd w:fill="FFFFFF" w:val="clear"/>
        </w:rPr>
        <w:t>•</w:t>
      </w:r>
      <w:r>
        <w:rPr>
          <w:rFonts w:ascii="sans-serif" w:hAnsi="sans-serif"/>
          <w:b w:val="false"/>
          <w:color w:val="000000"/>
          <w:sz w:val="20"/>
        </w:rPr>
        <w:t>Research and development expenses for the second quarter of 2026 were $212.0 million, as compared to $200.4 million for the second quarter of 2025.</w:t>
      </w:r>
    </w:p>
    <w:p>
      <w:pPr>
        <w:pStyle w:val="TextBody"/>
        <w:bidi w:val="0"/>
        <w:spacing w:lineRule="auto" w:line="288" w:before="60" w:after="283"/>
        <w:ind w:left="0" w:right="0" w:hanging="252"/>
        <w:jc w:val="left"/>
        <w:rPr/>
      </w:pPr>
      <w:r>
        <w:rPr>
          <w:color w:val="000000"/>
          <w:shd w:fill="FFFFFF" w:val="clear"/>
        </w:rPr>
        <w:t>•</w:t>
      </w:r>
      <w:r>
        <w:rPr>
          <w:rFonts w:ascii="sans-serif" w:hAnsi="sans-serif"/>
          <w:b w:val="false"/>
          <w:color w:val="000000"/>
          <w:sz w:val="20"/>
        </w:rPr>
        <w:t>Selling, general and administrative expenses for the second quarter of 2026 were $147.6 million, as compared to $134.9 million for the second quarter of 2025.</w:t>
      </w:r>
    </w:p>
    <w:p>
      <w:pPr>
        <w:pStyle w:val="TextBody"/>
        <w:bidi w:val="0"/>
        <w:spacing w:lineRule="auto" w:line="288" w:before="60" w:after="283"/>
        <w:ind w:left="0" w:right="0" w:hanging="252"/>
        <w:jc w:val="left"/>
        <w:rPr/>
      </w:pPr>
      <w:r>
        <w:rPr>
          <w:color w:val="000000"/>
          <w:shd w:fill="FFFFFF" w:val="clear"/>
        </w:rPr>
        <w:t>•</w:t>
      </w:r>
      <w:r>
        <w:rPr>
          <w:rFonts w:ascii="sans-serif" w:hAnsi="sans-serif"/>
          <w:b w:val="false"/>
          <w:color w:val="000000"/>
          <w:sz w:val="20"/>
        </w:rPr>
        <w:t>Provision for income taxes for the second quarter of 2026 was $50.6 million, as compared to $45.6 million for the second quarter of 2025.</w:t>
      </w:r>
    </w:p>
    <w:p>
      <w:pPr>
        <w:pStyle w:val="TextBody"/>
        <w:bidi w:val="0"/>
        <w:spacing w:lineRule="auto" w:line="288" w:before="60" w:after="283"/>
        <w:ind w:left="0" w:right="0" w:hanging="252"/>
        <w:jc w:val="left"/>
        <w:rPr/>
      </w:pPr>
      <w:r>
        <w:rPr>
          <w:color w:val="000000"/>
          <w:shd w:fill="FFFFFF" w:val="clear"/>
        </w:rPr>
        <w:t>•</w:t>
      </w:r>
      <w:r>
        <w:rPr>
          <w:rFonts w:ascii="sans-serif" w:hAnsi="sans-serif"/>
          <w:b w:val="false"/>
          <w:color w:val="000000"/>
          <w:sz w:val="20"/>
        </w:rPr>
        <w:t>Net income for the second quarter of 2026 was $212.1 million, or $0.85 per share, basic and $0.82 per share, diluted, as compared to net income of $184.8 million, or $0.68 per share, basic and $0.65 per share, diluted, for the second quarter of 2025.</w:t>
      </w:r>
    </w:p>
    <w:p>
      <w:pPr>
        <w:pStyle w:val="TextBody"/>
        <w:bidi w:val="0"/>
        <w:spacing w:lineRule="auto" w:line="288" w:before="180" w:after="283"/>
        <w:ind w:left="0" w:right="0" w:firstLine="720"/>
        <w:jc w:val="left"/>
        <w:rPr/>
      </w:pPr>
      <w:r>
        <w:rPr>
          <w:rFonts w:ascii="sans-serif" w:hAnsi="sans-serif"/>
          <w:b w:val="false"/>
          <w:color w:val="000000"/>
          <w:sz w:val="20"/>
        </w:rPr>
        <w:t xml:space="preserve">See </w:t>
      </w:r>
      <w:r>
        <w:rPr>
          <w:color w:val="000000"/>
        </w:rPr>
        <w:t>“</w:t>
      </w:r>
      <w:r>
        <w:rPr>
          <w:rFonts w:ascii="sans-serif" w:hAnsi="sans-serif"/>
          <w:b w:val="false"/>
          <w:i/>
          <w:color w:val="000000"/>
          <w:sz w:val="20"/>
        </w:rPr>
        <w:t>Results of Operations”</w:t>
      </w:r>
      <w:r>
        <w:rPr>
          <w:color w:val="000000"/>
        </w:rPr>
        <w:t xml:space="preserve"> </w:t>
      </w:r>
      <w:r>
        <w:rPr>
          <w:rFonts w:ascii="sans-serif" w:hAnsi="sans-serif"/>
          <w:b w:val="false"/>
          <w:color w:val="000000"/>
          <w:sz w:val="20"/>
        </w:rPr>
        <w:t>below for a discussion of the detailed components and analysis of the amounts above.</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Outlook, Challenges and Risks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will continue to face numerous challenges and risks that may impact our ability to execute on our business objectives. In particular, for the foreseeable future, we expect our ability to generate sufficient cash flow to fund our business operations and growth will depend upon the continued commercial success of CABOMETYX, both alone and in combination with other therapies, as a treatment for the highly competitive indications for which it is approved. In addition, CABOMETYX will only continue to be commercially successful if private third-party and government payers continue to provide coverage and reimbursement. As is the case for all innovative pharmaceutical therapies, obtaining and maintaining coverage and reimbursement for CABOMETYX is becoming increasingly difficult, both within the U.S. and in foreign markets. Further, healthcare policymakers in the U.S. continue to express concern over healthcare costs, and corresponding legislative and policy initiatives and activities have been launched aimed at increasing the healthcare cost burdens borne by pharmaceutical manufacturers, as well as expanding access to, and restricting the prices and growth in prices of, pharmaceuticals. Furthermore, the current U.S. administration has proposed a scheme to impose tariffs on imported pharmaceuticals.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Achievement of our business objectives will also depend on our ability to maintain a competitive position in the shifting landscape of therapeutic strategies for the treatment of cancer, which we may not be able to do. On an ongoing basis, we assess the constantly evolving landscape of other approved and investigational cancer therapies that could be competitive, or complementary in combination, with our products, and then we adapt our development strategies for the cabozantinib franchise and our pipeline product candidates accordingly, such as by modifying our clinical trials to include evaluation of our therapies with ICIs and other targeted agents. Even if our current and future clinical trials produce positive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2255"/>
                <wp:effectExtent l="0" t="0" r="0" b="0"/>
                <wp:wrapNone/>
                <wp:docPr id="29" name="Frame28"/>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results sufficient to obtain marketing approval by the FDA and other global regulatory authorities, it is uncertain whether physicians will choose to prescribe regimens containing our products instead of competing products and product combinations in approved indications.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the longer term, we may eventually face competition from potential manufacturers of generic or follow-on versions of our marketed products, including the proposed generic versions of CABOMETYX tablets that are the subject of ANDAs submitted to the FDA by MSN, Teva, Cipla, Biocon, Sun, and Accord, as well as 505(b)(2) NDAs submitted by Azurity, Handa, and Almatica. The approval of any of these follow-on products and their subsequent launch could significantly decrease our revenues derived from the U.S. sales of CABOMETYX and thereby materially harm our business, financial condition and results of operations.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Separately, our research and development objectives may be impeded by the challenges of scaling our organization to meet the demands of expanded drug development, unanticipated delays in clinical testing and the inherent risks and uncertainties associated with drug discovery operations, especially on the global level. In connection with efforts to expand our product pipeline, we may be unsuccessful in discovering new potential cancer treatments or identifying appropriate candidates for in-licensing or acquisition.</w:t>
      </w:r>
    </w:p>
    <w:p>
      <w:pPr>
        <w:pStyle w:val="TextBody"/>
        <w:bidi w:val="0"/>
        <w:spacing w:lineRule="auto" w:line="288" w:before="180" w:after="283"/>
        <w:ind w:left="0" w:right="0" w:firstLine="720"/>
        <w:jc w:val="left"/>
        <w:rPr/>
      </w:pPr>
      <w:r>
        <w:rPr>
          <w:rFonts w:ascii="sans-serif" w:hAnsi="sans-serif"/>
          <w:b w:val="false"/>
          <w:color w:val="000000"/>
          <w:sz w:val="20"/>
        </w:rPr>
        <w:t>Some of these challenges and risks are specific to our business, others are common to companies in the biopharmaceutical industry with development and commercial operations, and an additional category are macroeconomic, affecting all companies. For a more detailed discussion of challenges and risks we face, see “Risk Factors” in Part I, Item 1A of our 2025</w:t>
      </w:r>
      <w:r>
        <w:rPr>
          <w:color w:val="000000"/>
        </w:rPr>
        <w:t xml:space="preserve"> </w:t>
      </w:r>
      <w:r>
        <w:rPr>
          <w:rFonts w:ascii="sans-serif" w:hAnsi="sans-serif"/>
          <w:b w:val="false"/>
          <w:color w:val="000000"/>
          <w:sz w:val="20"/>
        </w:rPr>
        <w:t>Form 10-K, as supplemented and, to the extent inconsistent or superseded in Part II, Item 1A of our Quarterly Reports on Form 10-Q.</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Fiscal Year Convention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have adopted a 52- or 53-week fiscal year policy that generally ends on the Friday closest to December 31. Fiscal year 2026, which is a 52-week fiscal year, will end on January 1, 2027 and fiscal year 2025, which was a 52-week fiscal year, ended on January 2, 2026. For convenience, references in this report as of and for the fiscal periods ended July 3, 2026 and July 4, 2025, and as of and for the fiscal year ending January 1, 2027 and fiscal year ended January 2, 2026, are indicated as being as of and for the periods ended June 30, 2026 and June 30, 2025, and the year ending December 31, 2026 and the year ended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Results of Operations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Revenues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Revenues by category were as follows (dollars in thousands):</w:t>
      </w:r>
    </w:p>
    <w:tbl>
      <w:tblPr>
        <w:tblW w:w="10562" w:type="dxa"/>
        <w:jc w:val="center"/>
        <w:tblInd w:w="0" w:type="dxa"/>
        <w:tblLayout w:type="fixed"/>
        <w:tblCellMar>
          <w:top w:w="28" w:type="dxa"/>
          <w:left w:w="28" w:type="dxa"/>
          <w:bottom w:w="28" w:type="dxa"/>
          <w:right w:w="28" w:type="dxa"/>
        </w:tblCellMar>
      </w:tblPr>
      <w:tblGrid>
        <w:gridCol w:w="775"/>
        <w:gridCol w:w="325"/>
        <w:gridCol w:w="326"/>
        <w:gridCol w:w="226"/>
        <w:gridCol w:w="946"/>
        <w:gridCol w:w="109"/>
        <w:gridCol w:w="109"/>
        <w:gridCol w:w="109"/>
        <w:gridCol w:w="109"/>
        <w:gridCol w:w="226"/>
        <w:gridCol w:w="946"/>
        <w:gridCol w:w="109"/>
        <w:gridCol w:w="109"/>
        <w:gridCol w:w="109"/>
        <w:gridCol w:w="109"/>
        <w:gridCol w:w="272"/>
        <w:gridCol w:w="194"/>
        <w:gridCol w:w="513"/>
        <w:gridCol w:w="109"/>
        <w:gridCol w:w="109"/>
        <w:gridCol w:w="109"/>
        <w:gridCol w:w="226"/>
        <w:gridCol w:w="1126"/>
        <w:gridCol w:w="109"/>
        <w:gridCol w:w="109"/>
        <w:gridCol w:w="109"/>
        <w:gridCol w:w="109"/>
        <w:gridCol w:w="226"/>
        <w:gridCol w:w="1126"/>
        <w:gridCol w:w="109"/>
        <w:gridCol w:w="109"/>
        <w:gridCol w:w="109"/>
        <w:gridCol w:w="109"/>
        <w:gridCol w:w="279"/>
        <w:gridCol w:w="187"/>
        <w:gridCol w:w="572"/>
      </w:tblGrid>
      <w:tr>
        <w:trPr/>
        <w:tc>
          <w:tcPr>
            <w:tcW w:w="7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product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573,025 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1,128,002 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License revenues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Collaboration services revenues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293</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284</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collaboration revenues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111,500 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90,411 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revenues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628,690 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568,261 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1,239,502 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1,123,708 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Net Product Revenues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Gross product revenues, discounts and allowances and net product revenues were as follows (dollars in thousands):</w:t>
      </w:r>
    </w:p>
    <w:tbl>
      <w:tblPr>
        <w:tblW w:w="10205" w:type="dxa"/>
        <w:jc w:val="center"/>
        <w:tblInd w:w="0" w:type="dxa"/>
        <w:tblLayout w:type="fixed"/>
        <w:tblCellMar>
          <w:top w:w="28" w:type="dxa"/>
          <w:left w:w="28" w:type="dxa"/>
          <w:bottom w:w="28" w:type="dxa"/>
          <w:right w:w="28" w:type="dxa"/>
        </w:tblCellMar>
      </w:tblPr>
      <w:tblGrid>
        <w:gridCol w:w="567"/>
        <w:gridCol w:w="328"/>
        <w:gridCol w:w="329"/>
        <w:gridCol w:w="226"/>
        <w:gridCol w:w="946"/>
        <w:gridCol w:w="109"/>
        <w:gridCol w:w="109"/>
        <w:gridCol w:w="109"/>
        <w:gridCol w:w="109"/>
        <w:gridCol w:w="226"/>
        <w:gridCol w:w="946"/>
        <w:gridCol w:w="109"/>
        <w:gridCol w:w="109"/>
        <w:gridCol w:w="109"/>
        <w:gridCol w:w="109"/>
        <w:gridCol w:w="195"/>
        <w:gridCol w:w="195"/>
        <w:gridCol w:w="516"/>
        <w:gridCol w:w="109"/>
        <w:gridCol w:w="109"/>
        <w:gridCol w:w="109"/>
        <w:gridCol w:w="226"/>
        <w:gridCol w:w="1126"/>
        <w:gridCol w:w="109"/>
        <w:gridCol w:w="109"/>
        <w:gridCol w:w="109"/>
        <w:gridCol w:w="109"/>
        <w:gridCol w:w="226"/>
        <w:gridCol w:w="1126"/>
        <w:gridCol w:w="109"/>
        <w:gridCol w:w="109"/>
        <w:gridCol w:w="109"/>
        <w:gridCol w:w="109"/>
        <w:gridCol w:w="188"/>
        <w:gridCol w:w="188"/>
        <w:gridCol w:w="580"/>
      </w:tblGrid>
      <w:tr>
        <w:trPr/>
        <w:tc>
          <w:tcPr>
            <w:tcW w:w="56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r>
      <w:tr>
        <w:trPr/>
        <w:tc>
          <w:tcPr>
            <w:tcW w:w="12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Gross product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745,280 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1,608,136 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1,466,991 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Discounts and allowances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(239,757)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(225,266)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5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(480,134)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(433,694)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2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product revenues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573,025 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1,128,002 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1,033,297 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62255"/>
                <wp:effectExtent l="0" t="0" r="0" b="0"/>
                <wp:wrapNone/>
                <wp:docPr id="30" name="Frame29"/>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Net product revenues by product were as follows (dollars in thousands):</w:t>
      </w:r>
    </w:p>
    <w:tbl>
      <w:tblPr>
        <w:tblW w:w="10302" w:type="dxa"/>
        <w:jc w:val="center"/>
        <w:tblInd w:w="0" w:type="dxa"/>
        <w:tblLayout w:type="fixed"/>
        <w:tblCellMar>
          <w:top w:w="28" w:type="dxa"/>
          <w:left w:w="28" w:type="dxa"/>
          <w:bottom w:w="28" w:type="dxa"/>
          <w:right w:w="28" w:type="dxa"/>
        </w:tblCellMar>
      </w:tblPr>
      <w:tblGrid>
        <w:gridCol w:w="484"/>
        <w:gridCol w:w="425"/>
        <w:gridCol w:w="427"/>
        <w:gridCol w:w="226"/>
        <w:gridCol w:w="946"/>
        <w:gridCol w:w="109"/>
        <w:gridCol w:w="109"/>
        <w:gridCol w:w="109"/>
        <w:gridCol w:w="109"/>
        <w:gridCol w:w="226"/>
        <w:gridCol w:w="946"/>
        <w:gridCol w:w="109"/>
        <w:gridCol w:w="109"/>
        <w:gridCol w:w="109"/>
        <w:gridCol w:w="109"/>
        <w:gridCol w:w="194"/>
        <w:gridCol w:w="194"/>
        <w:gridCol w:w="513"/>
        <w:gridCol w:w="109"/>
        <w:gridCol w:w="109"/>
        <w:gridCol w:w="109"/>
        <w:gridCol w:w="226"/>
        <w:gridCol w:w="1126"/>
        <w:gridCol w:w="109"/>
        <w:gridCol w:w="109"/>
        <w:gridCol w:w="109"/>
        <w:gridCol w:w="109"/>
        <w:gridCol w:w="226"/>
        <w:gridCol w:w="1126"/>
        <w:gridCol w:w="109"/>
        <w:gridCol w:w="109"/>
        <w:gridCol w:w="109"/>
        <w:gridCol w:w="109"/>
        <w:gridCol w:w="187"/>
        <w:gridCol w:w="187"/>
        <w:gridCol w:w="572"/>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CABOMETYX</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570,648 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517,890 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1,123,421 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1,028,762 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COMETRIQ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w:t>
            </w:r>
          </w:p>
        </w:tc>
        <w:tc>
          <w:tcPr>
            <w:tcW w:w="5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5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product revenues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573,025 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520,014 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w:t>
            </w:r>
          </w:p>
        </w:tc>
        <w:tc>
          <w:tcPr>
            <w:tcW w:w="5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1,128,002 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1,033,297 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w:t>
            </w:r>
          </w:p>
        </w:tc>
        <w:tc>
          <w:tcPr>
            <w:tcW w:w="5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increases in net product revenues for the three and six months ended June 30, 2026, as compared to the corresponding prior year periods, were primarily related to an increase of 6% in the number of CABOMETYX units sold, for each period, reflecting continuing demand for CABOMETYX in combination with nivolumab as a first-line treatment of patients with advanced RCC, and demand for previously treated advanced NET and, to a lesser extent, increases of 4% and 3%, respectively, in the average net selling price of CABOMETYX. The increases in sales volume were largely driven by refills, reflecting the longer duration of therapy for the combination of CABOMETYX with nivolumab, and increases in related market share reflecting the continued evolution of the metastatic RCC and NET treatment landscapes.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project our net product revenues may increase for the remainder of 2026, as compared to the corresponding prior year period, for similar reasons noted above.</w:t>
      </w:r>
    </w:p>
    <w:p>
      <w:pPr>
        <w:pStyle w:val="TextBody"/>
        <w:bidi w:val="0"/>
        <w:spacing w:lineRule="auto" w:line="288" w:before="180" w:after="283"/>
        <w:ind w:left="0" w:right="0" w:firstLine="720"/>
        <w:jc w:val="left"/>
        <w:rPr/>
      </w:pPr>
      <w:r>
        <w:rPr>
          <w:rFonts w:ascii="sans-serif" w:hAnsi="sans-serif"/>
          <w:b w:val="false"/>
          <w:color w:val="000000"/>
          <w:sz w:val="20"/>
        </w:rPr>
        <w:t xml:space="preserve">We recognize product revenues net of discounts and allowances that are described in “Note 1. Organization and Summary of Significant Accounting Policies” of the “Notes to Consolidated Financial Statements” included in Part II, Item 8 of our Fiscal 2025 Form 10-K. Discounts and allowances have generally increased over time as the number of patients participating in government programs has increased and as the discounts given and rebates paid to government payers have also increased. </w:t>
      </w:r>
      <w:r>
        <w:rPr>
          <w:rFonts w:ascii="sans-serif" w:hAnsi="sans-serif"/>
          <w:b w:val="false"/>
          <w:color w:val="000000"/>
          <w:sz w:val="20"/>
          <w:shd w:fill="FFFFFF" w:val="clear"/>
        </w:rPr>
        <w:t xml:space="preserve">The increases in the amount of discounts and allowances for the three and six months ended </w:t>
      </w:r>
      <w:r>
        <w:rPr>
          <w:rFonts w:ascii="sans-serif" w:hAnsi="sans-serif"/>
          <w:b w:val="false"/>
          <w:color w:val="000000"/>
          <w:sz w:val="20"/>
        </w:rPr>
        <w:t>June 30, 2026</w:t>
      </w:r>
      <w:r>
        <w:rPr>
          <w:rFonts w:ascii="sans-serif" w:hAnsi="sans-serif"/>
          <w:b w:val="false"/>
          <w:color w:val="000000"/>
          <w:sz w:val="20"/>
          <w:shd w:fill="FFFFFF" w:val="clear"/>
        </w:rPr>
        <w:t>, as compared to the corresponding prior year periods, were primarily the result of increases in the volume of units sold, higher utilization, and higher discounts associated with the Part D Discount Program, partially offset by lower utilization under the 340B Drug Pricing Program.</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project our discounts and allowances may increase for the remainder of 2026, as compared to the corresponding prior year period, for similar reasons noted above.</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License Revenues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License revenues primarily include: (a) the recognition of the portion of milestone payments allocated to the transfer of intellectual property licenses for which it had become probable, in the related period, that a milestone would be achieved and a significant reversal of revenues would not occur in future periods; and (b) royalty revenues.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Milestone revenues, which are allocated between license revenues and collaboration services revenues, were $0.7 million and $9.5 million, respectively, for the three and six months ended June 30, 2026, as compared to $1.6 million and $2.5 million for the corresponding prior year periods. During the six months ended June 30, 2026, we recognized $7.8 million in revenues in connection with an $8.0 million commercial milestone payment from Takeda, which was earned upon their achievement of $300.0 million of cumulative net sales of cabozantinib in Japan.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Royalty revenues for the three and six months ended June 30, 2026 increased, as compared to the corresponding prior year periods, primarily as a result of increases in Ipsen’s net sales of cabozantinib outside of the U.S and Japan. Ipsen royalties were $50.5 million and $94.1 million, respectively, for the three and six months ended June 30, 2026, as compared to $39.5 million and $73.5 million for the corresponding prior year periods. Royalty revenues related to Takeda’s net sales of cabozantinib were $2.7 million and $5.1 million, respectively, for the three and six months ended June 30, 2026, as compared to $3.8 million and $6.6 million for the corresponding prior year periods. CABOMETYX is approved and is commercially available in 69 countries outside the U.S.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Due to uncertainties surrounding the timing and achievement of development, regulatory and commercial milestones, it is difficult to predict the timing of future milestone revenues; consequently, milestone revenues may vary significantly from period to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62255"/>
                <wp:effectExtent l="0" t="0" r="0" b="0"/>
                <wp:wrapNone/>
                <wp:docPr id="31" name="Frame30"/>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Collaboration Services Revenues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Collaboration services revenues include: (a) the development cost reimbursements earned under our collaboration agreements and product supply revenues, net of product supply costs; (b) the recognition of deferred revenues for the portion of upfront and milestone payments that have been allocated to research and development services performance obligations; offset by (c) the royalties we pay to Royalty Pharma plc (Royalty Pharma) on sales by Ipsen and Takeda of products containing cabozantinib.</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Development cost reimbursements for the three and six months ended June 30, 2026 decreased, as compared to the corresponding prior year periods, due to decreases in spending on studies evaluating cabozantinib that are subject to reimbursement.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Recognition of deferred revenues for the portion of upfront and milestone payments that have been allocated to research and development services performance obligations were not material in each of the three and six months ended June 30, 2026 and 2025.</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Collaboration services revenues are reduced by the 3% royalty we are required to pay to Royalty Pharma on the net sales by Ipsen and Takeda of any products containing cabozantinib. The royalty payments due to Royalty Pharma increased in the three and six months ended June 30, 2026, as compared to the corresponding prior year periods, as a result of increases in the royalty generating sales of cabozantinib by Ipsen.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project our collaboration services revenues may increase for the remainder of 2026, as compared to the corresponding prior year period, primarily as a result of an increase in development cost reimbursements, partially offset by an increase in royalty payments on the sales of cabozantinib by Ipsen and Takeda.</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Cost of Goods Sold</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cost of goods sold and our gross margins were as follows (dollars in thousands):</w:t>
      </w:r>
    </w:p>
    <w:tbl>
      <w:tblPr>
        <w:tblW w:w="10205" w:type="dxa"/>
        <w:jc w:val="center"/>
        <w:tblInd w:w="0" w:type="dxa"/>
        <w:tblLayout w:type="fixed"/>
        <w:tblCellMar>
          <w:top w:w="28" w:type="dxa"/>
          <w:left w:w="28" w:type="dxa"/>
          <w:bottom w:w="28" w:type="dxa"/>
          <w:right w:w="28" w:type="dxa"/>
        </w:tblCellMar>
      </w:tblPr>
      <w:tblGrid>
        <w:gridCol w:w="514"/>
        <w:gridCol w:w="403"/>
        <w:gridCol w:w="405"/>
        <w:gridCol w:w="328"/>
        <w:gridCol w:w="215"/>
        <w:gridCol w:w="557"/>
        <w:gridCol w:w="158"/>
        <w:gridCol w:w="158"/>
        <w:gridCol w:w="158"/>
        <w:gridCol w:w="328"/>
        <w:gridCol w:w="215"/>
        <w:gridCol w:w="557"/>
        <w:gridCol w:w="109"/>
        <w:gridCol w:w="109"/>
        <w:gridCol w:w="109"/>
        <w:gridCol w:w="277"/>
        <w:gridCol w:w="277"/>
        <w:gridCol w:w="734"/>
        <w:gridCol w:w="109"/>
        <w:gridCol w:w="109"/>
        <w:gridCol w:w="109"/>
        <w:gridCol w:w="310"/>
        <w:gridCol w:w="211"/>
        <w:gridCol w:w="555"/>
        <w:gridCol w:w="149"/>
        <w:gridCol w:w="149"/>
        <w:gridCol w:w="149"/>
        <w:gridCol w:w="310"/>
        <w:gridCol w:w="211"/>
        <w:gridCol w:w="555"/>
        <w:gridCol w:w="109"/>
        <w:gridCol w:w="109"/>
        <w:gridCol w:w="109"/>
        <w:gridCol w:w="263"/>
        <w:gridCol w:w="263"/>
        <w:gridCol w:w="815"/>
      </w:tblGrid>
      <w:tr>
        <w:trPr/>
        <w:tc>
          <w:tcPr>
            <w:tcW w:w="51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132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6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r>
      <w:tr>
        <w:trPr/>
        <w:tc>
          <w:tcPr>
            <w:tcW w:w="132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Cost of goods sold</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20,657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40,610</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3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Gross margin %</w:t>
            </w:r>
          </w:p>
        </w:tc>
        <w:tc>
          <w:tcPr>
            <w:tcW w:w="5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w:t>
            </w:r>
          </w:p>
        </w:tc>
        <w:tc>
          <w:tcPr>
            <w:tcW w:w="557"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w:t>
            </w:r>
          </w:p>
        </w:tc>
        <w:tc>
          <w:tcPr>
            <w:tcW w:w="557"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w:t>
            </w:r>
          </w:p>
        </w:tc>
        <w:tc>
          <w:tcPr>
            <w:tcW w:w="555"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w:t>
            </w:r>
          </w:p>
        </w:tc>
        <w:tc>
          <w:tcPr>
            <w:tcW w:w="555"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Cost of goods sold is related to our product revenues and consists of a 3% royalty payable on U.S. net sales of any product containing cabozantinib, as well as the cost of inventory sold, indirect labor costs, write-downs related to expiring, excess and obsolete inventory, and other third-party logistics costs. The increases in cost of goods sold for the three and six months ended June 30, 2026, as compared to the corresponding prior year periods, were primarily due to increases in royalties as a result of increased U.S. CABOMETYX sales. We project our gross margin will not change significantly during the remainder of 2026.</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Research and Development Expenses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do not track fully burdened research and development expenses on a project-by-project basis. We group our research and development expenses into three categories: (a) development; (b) drug discovery; and (c) other research and development. Our development group leads the development and implementation of our clinical and regulatory strategies and prioritizes disease indications in which our compounds are being or may be studied in clinical trials.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Development expenses include license and other collaboration costs, primarily composed of upfront license fees, development milestones and other payments associated with our clinical-stage in-licensing collaboration programs, clinical trial costs, personnel expenses, consulting and outside services and other development costs, including manufacturing costs of our drug development candidates. Our drug discovery group utilizes a variety of technologies, including in-licensed technologies, to enable the rapid discovery, optimization and extensive characterization of lead compounds and biotherapeutics such that we are able to select development candidates with the best potential for further evaluation and advancement into clinical development. Drug discovery expenses include license and other collaboration costs primarily composed of upfront license fees, research funding commitments, option exercise fees, development milestones and other payments associated with our in-licensing collaboration programs in preclinical development stage. Other drug discovery costs include personnel expenses, consulting and outside services and laboratory supplies. Other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62255"/>
                <wp:effectExtent l="0" t="0" r="0" b="0"/>
                <wp:wrapNone/>
                <wp:docPr id="32" name="Frame31"/>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expenses include the allocation of general corporate costs to research and development services and development cost reimbursements in connection with certain of our collaboration arrangements.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Research and development expenses by category were as follows (dollars in thousands):</w:t>
      </w:r>
    </w:p>
    <w:tbl>
      <w:tblPr>
        <w:tblW w:w="10205" w:type="dxa"/>
        <w:jc w:val="center"/>
        <w:tblInd w:w="0" w:type="dxa"/>
        <w:tblLayout w:type="fixed"/>
        <w:tblCellMar>
          <w:top w:w="28" w:type="dxa"/>
          <w:left w:w="28" w:type="dxa"/>
          <w:bottom w:w="28" w:type="dxa"/>
          <w:right w:w="28" w:type="dxa"/>
        </w:tblCellMar>
      </w:tblPr>
      <w:tblGrid>
        <w:gridCol w:w="586"/>
        <w:gridCol w:w="462"/>
        <w:gridCol w:w="463"/>
        <w:gridCol w:w="226"/>
        <w:gridCol w:w="946"/>
        <w:gridCol w:w="109"/>
        <w:gridCol w:w="109"/>
        <w:gridCol w:w="109"/>
        <w:gridCol w:w="109"/>
        <w:gridCol w:w="226"/>
        <w:gridCol w:w="946"/>
        <w:gridCol w:w="109"/>
        <w:gridCol w:w="109"/>
        <w:gridCol w:w="109"/>
        <w:gridCol w:w="109"/>
        <w:gridCol w:w="272"/>
        <w:gridCol w:w="194"/>
        <w:gridCol w:w="515"/>
        <w:gridCol w:w="109"/>
        <w:gridCol w:w="109"/>
        <w:gridCol w:w="109"/>
        <w:gridCol w:w="226"/>
        <w:gridCol w:w="946"/>
        <w:gridCol w:w="109"/>
        <w:gridCol w:w="109"/>
        <w:gridCol w:w="109"/>
        <w:gridCol w:w="109"/>
        <w:gridCol w:w="226"/>
        <w:gridCol w:w="946"/>
        <w:gridCol w:w="109"/>
        <w:gridCol w:w="109"/>
        <w:gridCol w:w="109"/>
        <w:gridCol w:w="109"/>
        <w:gridCol w:w="187"/>
        <w:gridCol w:w="187"/>
        <w:gridCol w:w="580"/>
      </w:tblGrid>
      <w:tr>
        <w:trPr/>
        <w:tc>
          <w:tcPr>
            <w:tcW w:w="58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511"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r>
      <w:tr>
        <w:trPr/>
        <w:tc>
          <w:tcPr>
            <w:tcW w:w="1511"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Development:</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Clinical trial costs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Personnel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98,998 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License and other collaboration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Consulting and outside services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development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development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150,522 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286,237 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287,376 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Drug discovery:</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License and other collaboration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34</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drug discovery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drug discovery</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Stock-based compensation</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24,662 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research and development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w:t>
            </w:r>
          </w:p>
        </w:tc>
        <w:tc>
          <w:tcPr>
            <w:tcW w:w="58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research and development expenses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211,987 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200,356 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5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411,903 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412,589 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0</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addition, we track our external clinical trial costs by product and product candidate and by scientific modalities, which are categorized as small molecule and biotherapeutics programs. Small molecule clinical development for the reported periods were primarily composed of cabozantinib and zanzalintinib. Biotherapeutics clinical development for the reported periods were primarily composed of XB010, XB628, and XB371.</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Clinical trial costs by scientific modalities, by product and by product candidate were as follows (dollars in thousands):</w:t>
      </w:r>
    </w:p>
    <w:tbl>
      <w:tblPr>
        <w:tblW w:w="10205" w:type="dxa"/>
        <w:jc w:val="left"/>
        <w:tblInd w:w="0" w:type="dxa"/>
        <w:tblLayout w:type="fixed"/>
        <w:tblCellMar>
          <w:top w:w="28" w:type="dxa"/>
          <w:left w:w="28" w:type="dxa"/>
          <w:bottom w:w="28" w:type="dxa"/>
          <w:right w:w="28" w:type="dxa"/>
        </w:tblCellMar>
      </w:tblPr>
      <w:tblGrid>
        <w:gridCol w:w="842"/>
        <w:gridCol w:w="456"/>
        <w:gridCol w:w="369"/>
        <w:gridCol w:w="226"/>
        <w:gridCol w:w="829"/>
        <w:gridCol w:w="109"/>
        <w:gridCol w:w="109"/>
        <w:gridCol w:w="109"/>
        <w:gridCol w:w="109"/>
        <w:gridCol w:w="226"/>
        <w:gridCol w:w="829"/>
        <w:gridCol w:w="109"/>
        <w:gridCol w:w="109"/>
        <w:gridCol w:w="109"/>
        <w:gridCol w:w="109"/>
        <w:gridCol w:w="274"/>
        <w:gridCol w:w="198"/>
        <w:gridCol w:w="524"/>
        <w:gridCol w:w="109"/>
        <w:gridCol w:w="109"/>
        <w:gridCol w:w="109"/>
        <w:gridCol w:w="226"/>
        <w:gridCol w:w="946"/>
        <w:gridCol w:w="109"/>
        <w:gridCol w:w="109"/>
        <w:gridCol w:w="109"/>
        <w:gridCol w:w="109"/>
        <w:gridCol w:w="226"/>
        <w:gridCol w:w="946"/>
        <w:gridCol w:w="109"/>
        <w:gridCol w:w="109"/>
        <w:gridCol w:w="109"/>
        <w:gridCol w:w="109"/>
        <w:gridCol w:w="236"/>
        <w:gridCol w:w="190"/>
        <w:gridCol w:w="591"/>
      </w:tblGrid>
      <w:tr>
        <w:trPr/>
        <w:tc>
          <w:tcPr>
            <w:tcW w:w="84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66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6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r>
      <w:tr>
        <w:trPr/>
        <w:tc>
          <w:tcPr>
            <w:tcW w:w="166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Small molecules:</w:t>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Zanzalintinib</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Cabozantinib</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-39</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-49</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small molecules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-70</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-71</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small molecules</w:t>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53,394 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108,322 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6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Biotherapeutics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153</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81</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6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clinical trial costs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63,605 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115,009 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118,485 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w:t>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80" w:after="283"/>
        <w:ind w:left="0" w:right="0" w:firstLine="720"/>
        <w:jc w:val="left"/>
        <w:rPr/>
      </w:pPr>
      <w:r>
        <w:rPr>
          <w:rFonts w:ascii="sans-serif" w:hAnsi="sans-serif"/>
          <w:b w:val="false"/>
          <w:color w:val="000000"/>
          <w:sz w:val="20"/>
        </w:rPr>
        <w:t>T</w:t>
      </w:r>
      <w:r>
        <w:rPr>
          <w:rFonts w:ascii="sans-serif" w:hAnsi="sans-serif"/>
          <w:b w:val="false"/>
          <w:color w:val="000000"/>
          <w:sz w:val="20"/>
          <w:shd w:fill="FFFFFF" w:val="clear"/>
        </w:rPr>
        <w:t xml:space="preserve">he increase </w:t>
      </w:r>
      <w:r>
        <w:rPr>
          <w:rFonts w:ascii="sans-serif" w:hAnsi="sans-serif"/>
          <w:b w:val="false"/>
          <w:color w:val="000000"/>
          <w:sz w:val="20"/>
        </w:rPr>
        <w:t>in research and development expenses for the three months ended June 30, 2026, as compared to the corresponding prior year period, was primarily related to increases in clinical trial costs, manufacturing costs to support our development candidates (presented as part of other development costs) and development-related license and other collaboration costs, partially offset by a decrease in personnel expenses. The decrease in research and development expenses for the six months ended June 30, 2026, as compared to the corresponding prior year period, was primarily related to decreases in clinical trial costs and personnel expenses, partially offset by increases in license and other collaboration costs and manufacturing costs to support our development candidates (presented as part of other development costs).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Clinical trial costs increased for the three months ended June 30, 2026, as compared to the corresponding prior year period, primarily due to higher costs associated with studies evaluating zanzalintinib, XB371, and XB628, partially offset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62255"/>
                <wp:effectExtent l="0" t="0" r="0" b="0"/>
                <wp:wrapNone/>
                <wp:docPr id="33" name="Frame32"/>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 xml:space="preserve">by lower costs associated with cabozantinib, XL309, and XB002 studies. Clinical trial costs decreased for the six months ended June 30, 2026, as compared to the corresponding prior year period, primarily due to lower costs associated with studies evaluating cabozantinib, XL309, and XL495, partially offset by higher costs associated with studies evaluating zanzalintinib, XB371, and XB628.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Development-related license and other collaboration costs increased for the three and six months ended June 30, 2026, as compared to the corresponding prior year periods, primarily due to higher development milestone achievement in our clinical-stage in-licensing collaboration programs. Drug discovery-related license and other collaboration costs decreased for the three months ended June 30, 2026, as compared to the corresponding prior year period, primarily due to lower option exercise fees in our discovery-stage in-licensing collaboration programs. Drug discovery-related license and other collaboration costs increased for the six months ended June 30, 2026, as compared to the corresponding prior year period, primarily due to higher development milestone achievement in our discovery-stage in-licensing collaboration programs and higher research funding.</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addition to reviewing the three categories of research and development expenses described above, we principally consider qualitative factors in making decisions regarding our research and development programs. These factors include enrollment in clinical trials for our product candidates, preliminary data and final results from clinical trials, the potential market indications and overall clinical and commercial potential for our product candidates, and competitive dynamics. We also make our research and development decisions in the context of our overall business strategy.</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project that clinical trial costs may increase for the remainder of 2026, as compared to the corresponding prior year period, primarily driven by higher costs associated with various studies evaluating zanzalintinib, XB628, and XB371, partially offset by lower costs associated with studies evaluating cabozantinib and XL309.</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To continue growing our pipeline, we are prioritizing investment in new molecules that are clinically differentiated with the potential to improve the standard of care for our cancer patients, including current and planned clinical trial programs evaluating zanzalintinib, XB010, XB628, and XB371. We are working to expand our oncology product pipeline through drug discovery efforts, which encompass our diverse biotherapeutics and small molecule programs exploring multiple modalities and mechanisms of action. This approach provides a high degree of flexibility with respect to target selection and allows us to prioritize those targets that we believe have the greatest chance of yielding impactful therapeutics. As part of our strategy, our drug discovery activities have included and continue to include internal research, as well as external research collaborations, in-licensing arrangements and other strategic transactions that collectively incorporate a wide range of technology platforms and assets and increase our probability of success. As of the date of this Quarterly Report on Form 10-Q, we expect to progress up to two new development candidates into preclinical development during 2026. We will continue to engage in pipeline expansion initiatives with the goal of acquiring and in-licensing promising investigational oncology assets and then further characterize and develop them utilizing our established preclinical and clinical development infrastructure.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project our research and development expenses may increase for the remainder of 2026, as compared to the prior year period, primarily driven by increases in clinical trial costs, including the current and planned trials evaluating zanzalintinib, XB628, and XB371, personnel expenses, and consulting and outside services, partially offset by a decrease in license and other collaboration costs.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Selling, General and Administrative Expenses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Selling, general and administrative expenses were as follows (dollars in thousands):</w:t>
      </w:r>
    </w:p>
    <w:tbl>
      <w:tblPr>
        <w:tblW w:w="10205" w:type="dxa"/>
        <w:jc w:val="center"/>
        <w:tblInd w:w="0" w:type="dxa"/>
        <w:tblLayout w:type="fixed"/>
        <w:tblCellMar>
          <w:top w:w="28" w:type="dxa"/>
          <w:left w:w="28" w:type="dxa"/>
          <w:bottom w:w="28" w:type="dxa"/>
          <w:right w:w="28" w:type="dxa"/>
        </w:tblCellMar>
      </w:tblPr>
      <w:tblGrid>
        <w:gridCol w:w="572"/>
        <w:gridCol w:w="502"/>
        <w:gridCol w:w="505"/>
        <w:gridCol w:w="226"/>
        <w:gridCol w:w="946"/>
        <w:gridCol w:w="109"/>
        <w:gridCol w:w="109"/>
        <w:gridCol w:w="109"/>
        <w:gridCol w:w="109"/>
        <w:gridCol w:w="226"/>
        <w:gridCol w:w="946"/>
        <w:gridCol w:w="109"/>
        <w:gridCol w:w="109"/>
        <w:gridCol w:w="109"/>
        <w:gridCol w:w="109"/>
        <w:gridCol w:w="195"/>
        <w:gridCol w:w="195"/>
        <w:gridCol w:w="517"/>
        <w:gridCol w:w="109"/>
        <w:gridCol w:w="109"/>
        <w:gridCol w:w="109"/>
        <w:gridCol w:w="226"/>
        <w:gridCol w:w="946"/>
        <w:gridCol w:w="109"/>
        <w:gridCol w:w="109"/>
        <w:gridCol w:w="109"/>
        <w:gridCol w:w="109"/>
        <w:gridCol w:w="226"/>
        <w:gridCol w:w="946"/>
        <w:gridCol w:w="109"/>
        <w:gridCol w:w="109"/>
        <w:gridCol w:w="109"/>
        <w:gridCol w:w="109"/>
        <w:gridCol w:w="188"/>
        <w:gridCol w:w="188"/>
        <w:gridCol w:w="584"/>
      </w:tblGrid>
      <w:tr>
        <w:trPr/>
        <w:tc>
          <w:tcPr>
            <w:tcW w:w="57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Percent Change</w:t>
            </w:r>
          </w:p>
        </w:tc>
      </w:tr>
      <w:tr>
        <w:trPr/>
        <w:tc>
          <w:tcPr>
            <w:tcW w:w="157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Selling, general and administrative expenses</w:t>
            </w:r>
            <w:r>
              <w:rPr>
                <w:rFonts w:ascii="sans-serif" w:hAnsi="sans-serif"/>
                <w:b w:val="false"/>
                <w:color w:val="000000"/>
                <w:sz w:val="13"/>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127,413 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112,931 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250,283 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233,706 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Stock-based compensation</w:t>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36,951 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38,336 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 selling, general and administrative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147,632 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134,859 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287,234 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272,042 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0" w:after="0"/>
        <w:ind w:left="0" w:right="0" w:hanging="144"/>
        <w:jc w:val="left"/>
        <w:rPr>
          <w:rFonts w:ascii="sans-serif" w:hAnsi="sans-serif"/>
          <w:b w:val="false"/>
          <w:color w:val="000000"/>
          <w:sz w:val="18"/>
        </w:rPr>
      </w:pPr>
      <w:r>
        <w:rPr>
          <w:rFonts w:ascii="sans-serif" w:hAnsi="sans-serif"/>
          <w:b w:val="false"/>
          <w:color w:val="000000"/>
          <w:sz w:val="18"/>
        </w:rPr>
        <w:t>__________________</w:t>
      </w:r>
    </w:p>
    <w:p>
      <w:pPr>
        <w:pStyle w:val="TextBody"/>
        <w:bidi w:val="0"/>
        <w:spacing w:lineRule="auto" w:line="288" w:before="0" w:after="0"/>
        <w:ind w:left="0" w:right="0" w:hanging="144"/>
        <w:jc w:val="left"/>
        <w:rPr/>
      </w:pPr>
      <w:r>
        <w:rPr>
          <w:rFonts w:ascii="sans-serif" w:hAnsi="sans-serif"/>
          <w:b w:val="false"/>
          <w:color w:val="000000"/>
          <w:sz w:val="12"/>
        </w:rPr>
        <w:t xml:space="preserve">(1) </w:t>
      </w:r>
      <w:r>
        <w:rPr>
          <w:rFonts w:ascii="sans-serif" w:hAnsi="sans-serif"/>
          <w:b w:val="false"/>
          <w:color w:val="000000"/>
          <w:sz w:val="18"/>
        </w:rPr>
        <w:t>Excludes stock-based compensation allocated to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62255"/>
                <wp:effectExtent l="0" t="0" r="0" b="0"/>
                <wp:wrapNone/>
                <wp:docPr id="34" name="Frame33"/>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Selling, general and administrative expenses consist primarily of personnel expenses, stock-based compensation, marketing costs and certain other administrative costs.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increase in selling, general and administrative expenses for the three months ended June 30, 2026, as compared to the corresponding prior year period, was primarily due to increases in marketing activities in support of the pre-launch activities for zanzalintinib and personnel expenses. The increase in selling, general and administrative expenses for the six months ended June 30, 2026, as compared to the corresponding prior year period, was primarily due to increases in marketing activities in support of the pre-launch activities for zanzalintinib, personnel expenses, and legal and advisory fees, partially offset by a decrease in corporate giving.</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project our selling, general and administrative expenses may increase for the remainder of 2026, as compared to the corresponding prior year period, primarily driven by increases in personnel expenses, marketing activities in support of the anticipated commercial launch of zanzalintinib, and legal and advisory fees.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Non-Operating Income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Non-operating income was as follows (dollars in thousands):</w:t>
      </w:r>
    </w:p>
    <w:tbl>
      <w:tblPr>
        <w:tblW w:w="10205" w:type="dxa"/>
        <w:jc w:val="center"/>
        <w:tblInd w:w="0" w:type="dxa"/>
        <w:tblLayout w:type="fixed"/>
        <w:tblCellMar>
          <w:top w:w="28" w:type="dxa"/>
          <w:left w:w="28" w:type="dxa"/>
          <w:bottom w:w="28" w:type="dxa"/>
          <w:right w:w="28" w:type="dxa"/>
        </w:tblCellMar>
      </w:tblPr>
      <w:tblGrid>
        <w:gridCol w:w="935"/>
        <w:gridCol w:w="407"/>
        <w:gridCol w:w="367"/>
        <w:gridCol w:w="230"/>
        <w:gridCol w:w="844"/>
        <w:gridCol w:w="111"/>
        <w:gridCol w:w="111"/>
        <w:gridCol w:w="111"/>
        <w:gridCol w:w="111"/>
        <w:gridCol w:w="230"/>
        <w:gridCol w:w="844"/>
        <w:gridCol w:w="111"/>
        <w:gridCol w:w="109"/>
        <w:gridCol w:w="109"/>
        <w:gridCol w:w="109"/>
        <w:gridCol w:w="246"/>
        <w:gridCol w:w="217"/>
        <w:gridCol w:w="574"/>
        <w:gridCol w:w="109"/>
        <w:gridCol w:w="109"/>
        <w:gridCol w:w="109"/>
        <w:gridCol w:w="227"/>
        <w:gridCol w:w="833"/>
        <w:gridCol w:w="109"/>
        <w:gridCol w:w="109"/>
        <w:gridCol w:w="109"/>
        <w:gridCol w:w="109"/>
        <w:gridCol w:w="227"/>
        <w:gridCol w:w="833"/>
        <w:gridCol w:w="109"/>
        <w:gridCol w:w="109"/>
        <w:gridCol w:w="109"/>
        <w:gridCol w:w="109"/>
        <w:gridCol w:w="249"/>
        <w:gridCol w:w="208"/>
        <w:gridCol w:w="653"/>
      </w:tblGrid>
      <w:tr>
        <w:trPr/>
        <w:tc>
          <w:tcPr>
            <w:tcW w:w="9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Percent Change</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Interest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14,210 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16,789 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Other income (expenses), net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n/a</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Non-operating income</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14,264 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16,839 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-15</w:t>
            </w:r>
          </w:p>
        </w:tc>
        <w:tc>
          <w:tcPr>
            <w:tcW w:w="5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30,610 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35,670 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decreases in non-operating income for the three and six months ended June 30, 2026, as compared to the corresponding prior year periods, were primarily the result of a decrease in interest income due to lower average interest-bearing investment balances and lower average interest rates.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Provision for Income Taxes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provision for income taxes and the effective tax rates were as follows (dollars in thousands):</w:t>
      </w:r>
    </w:p>
    <w:tbl>
      <w:tblPr>
        <w:tblW w:w="10205" w:type="dxa"/>
        <w:jc w:val="center"/>
        <w:tblInd w:w="0" w:type="dxa"/>
        <w:tblLayout w:type="fixed"/>
        <w:tblCellMar>
          <w:top w:w="28" w:type="dxa"/>
          <w:left w:w="28" w:type="dxa"/>
          <w:bottom w:w="28" w:type="dxa"/>
          <w:right w:w="28" w:type="dxa"/>
        </w:tblCellMar>
      </w:tblPr>
      <w:tblGrid>
        <w:gridCol w:w="410"/>
        <w:gridCol w:w="360"/>
        <w:gridCol w:w="361"/>
        <w:gridCol w:w="226"/>
        <w:gridCol w:w="827"/>
        <w:gridCol w:w="286"/>
        <w:gridCol w:w="109"/>
        <w:gridCol w:w="109"/>
        <w:gridCol w:w="109"/>
        <w:gridCol w:w="226"/>
        <w:gridCol w:w="827"/>
        <w:gridCol w:w="286"/>
        <w:gridCol w:w="109"/>
        <w:gridCol w:w="109"/>
        <w:gridCol w:w="109"/>
        <w:gridCol w:w="205"/>
        <w:gridCol w:w="205"/>
        <w:gridCol w:w="544"/>
        <w:gridCol w:w="109"/>
        <w:gridCol w:w="109"/>
        <w:gridCol w:w="109"/>
        <w:gridCol w:w="226"/>
        <w:gridCol w:w="946"/>
        <w:gridCol w:w="286"/>
        <w:gridCol w:w="109"/>
        <w:gridCol w:w="109"/>
        <w:gridCol w:w="109"/>
        <w:gridCol w:w="226"/>
        <w:gridCol w:w="826"/>
        <w:gridCol w:w="286"/>
        <w:gridCol w:w="109"/>
        <w:gridCol w:w="109"/>
        <w:gridCol w:w="109"/>
        <w:gridCol w:w="197"/>
        <w:gridCol w:w="197"/>
        <w:gridCol w:w="617"/>
      </w:tblGrid>
      <w:tr>
        <w:trPr/>
        <w:tc>
          <w:tcPr>
            <w:tcW w:w="4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Percent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Percent Change</w:t>
            </w:r>
          </w:p>
        </w:tc>
      </w:tr>
      <w:tr>
        <w:trPr/>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Provision for income taxes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50,628 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45,567 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107,848 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91,641 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18</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Effective tax rate</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19.3</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19.8</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20.3</w:t>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21.0</w:t>
            </w:r>
          </w:p>
        </w:tc>
        <w:tc>
          <w:tcPr>
            <w:tcW w:w="286" w:type="dxa"/>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pPr>
      <w:r>
        <w:rPr>
          <w:rFonts w:ascii="sans-serif" w:hAnsi="sans-serif"/>
          <w:b w:val="false"/>
          <w:color w:val="000000"/>
          <w:sz w:val="20"/>
          <w:shd w:fill="FFFFFF" w:val="clear"/>
        </w:rPr>
        <w:t xml:space="preserve">The effective tax rates for the three and six months ended </w:t>
      </w:r>
      <w:r>
        <w:rPr>
          <w:rFonts w:ascii="sans-serif" w:hAnsi="sans-serif"/>
          <w:b w:val="false"/>
          <w:color w:val="000000"/>
          <w:sz w:val="20"/>
        </w:rPr>
        <w:t xml:space="preserve">June 30, 2026 </w:t>
      </w:r>
      <w:r>
        <w:rPr>
          <w:rFonts w:ascii="sans-serif" w:hAnsi="sans-serif"/>
          <w:b w:val="false"/>
          <w:color w:val="000000"/>
          <w:sz w:val="20"/>
          <w:shd w:fill="FFFFFF" w:val="clear"/>
        </w:rPr>
        <w:t xml:space="preserve">differed from the U.S. federal statutory tax rate of 21%, primarily due to excess tax benefits related to certain stock grants and the Foreign-Derived Intangible Income deduction, partially offset by state taxes. </w:t>
      </w:r>
      <w:r>
        <w:rPr>
          <w:rFonts w:ascii="sans-serif" w:hAnsi="sans-serif"/>
          <w:b w:val="false"/>
          <w:color w:val="000000"/>
          <w:sz w:val="20"/>
        </w:rPr>
        <w:t xml:space="preserve">The effective tax rate for the three months ended June 30, 2025, differed from the U.S. federal statutory tax rate of 21%, primarily due to excess tax benefits related to certain stock grants and the generation of federal tax credits, partially offset by state taxes. The effective tax rate for the six months ended June 30, 2025, differed from the U.S. federal statutory tax rate of 21%, primarily due to state taxes, offset by excess tax benefits related to certain stock grants and the generation of federal tax credits.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Liquidity and Capital Resources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As of June 30, 2026, we had $1.4 billion in cash, cash equivalents and marketable securities, as compared to $1.7 billion as of December 31, 2025. We anticipate that the aggregate of our current cash, cash equivalents and marketable securities available for operations, net product revenues and collaboration revenues will enable us to maintain our operations for at least 12 months and thereafter for the foreseeable future.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Our primary cash requirements for operating activities, which we project will increase for the remainder of 2026, as compared to the corresponding period in 2025, are employee-related expenditures; payments related to our collaboration and development programs; income tax payments; royalty payments on our net product sales; cash payments for inventory; rent payments for our leased facilities; and contract manufacturing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62255"/>
                <wp:effectExtent l="0" t="0" r="0" b="0"/>
                <wp:wrapNone/>
                <wp:docPr id="35" name="Frame34"/>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Our primary sources of operating cash are: cash collections from customers related to net product revenues, which we project may increase for the remainder of 2026, as compared to the corresponding period in 2025; cash collections related to milestones achieved and royalties earned from our commercial collaboration arrangements with Ipsen, Takeda and others; and cash collections for cost reimbursements under certain of our development programs with Ipsen and Takeda. The timing of cash generated from commercial collaborations and cash payments required for in-licensing collaborations relative to upfront license fee payments, cost reimbursements, exercise of option payments and other contingent payments such as development milestone payments may vary from period to period.</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project that we may continue to spend significant amounts of cash to fund the development of certain product candidates in our pipeline, including zanzalintinib, XB010, XB628 and XB371. In addition, we may continue to expand our oncology product pipeline through additional research collaborations, in-licensing arrangements and other strategic transactions that align with our oncology drug development, regulatory and commercial expertise.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In October 2025, our Board of Directors authorized the October 2025 SRP to acquire up to $750.0 million of our outstanding common stock before December 31, 2026. In May 2026, our Board of Directors authorized the May 2026 SRP for repurchase of up to an additional $750.0 million of our outstanding common stock before December 31, 2027. Under these SRPs, as of June 30, 2026, we have repurchased 20.2 million shares of common stock for an aggregate purchase price of $902.2 million and have completed the October 2025 SRP. As of June 30, 2026, approximately $597.8 million remained available under the May 2026 SRP for future stock repurchases before December 31, 2027. Stock repurchases under the May 2026 SRP may be made from time to time through a variety of methods, which may include open market purchases, in block trades, Rule 10b5-1 trading plans, accelerated share repurchase transactions, exchange transactions, or any combination of such methods. The timing and amount of any stock repurchases under the SRP will be based on a variety of factors, including ongoing assessments of the capital needs of the business, alternative investment opportunities, the market price of our common stock and general market conditions. The SRP does not obligate us to acquire any amount of our common stock, and the SRP may be modified, suspended or discontinued at any time without prior notice.</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Financing these activities could materially impact our liquidity and capital resources and may require us to incur debt or raise additional funds through the issuance of equity. Furthermore, even though we believe we have sufficient funds for our current and future operating plans, we may choose to incur debt or raise additional funds through the issuance of equity based on market conditions or strategic considerations.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Sources and Uses of Cash (dollars in thousands):</w:t>
      </w:r>
    </w:p>
    <w:tbl>
      <w:tblPr>
        <w:tblW w:w="10205" w:type="dxa"/>
        <w:jc w:val="center"/>
        <w:tblInd w:w="0" w:type="dxa"/>
        <w:tblLayout w:type="fixed"/>
        <w:tblCellMar>
          <w:top w:w="28" w:type="dxa"/>
          <w:left w:w="28" w:type="dxa"/>
          <w:bottom w:w="28" w:type="dxa"/>
          <w:right w:w="28" w:type="dxa"/>
        </w:tblCellMar>
      </w:tblPr>
      <w:tblGrid>
        <w:gridCol w:w="1629"/>
        <w:gridCol w:w="1406"/>
        <w:gridCol w:w="1407"/>
        <w:gridCol w:w="226"/>
        <w:gridCol w:w="1131"/>
        <w:gridCol w:w="109"/>
        <w:gridCol w:w="109"/>
        <w:gridCol w:w="109"/>
        <w:gridCol w:w="109"/>
        <w:gridCol w:w="304"/>
        <w:gridCol w:w="1517"/>
        <w:gridCol w:w="146"/>
        <w:gridCol w:w="109"/>
        <w:gridCol w:w="109"/>
        <w:gridCol w:w="109"/>
        <w:gridCol w:w="335"/>
        <w:gridCol w:w="329"/>
        <w:gridCol w:w="1012"/>
      </w:tblGrid>
      <w:tr>
        <w:trPr/>
        <w:tc>
          <w:tcPr>
            <w:tcW w:w="162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Percent Change</w:t>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Working capital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888,895 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1,037,645 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-14</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Cash, cash equivalents and marketable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1,384,315 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5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1,662,694 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w:t>
            </w:r>
          </w:p>
        </w:tc>
        <w:tc>
          <w:tcPr>
            <w:tcW w:w="10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80" w:after="283"/>
        <w:ind w:left="0" w:right="0" w:firstLine="720"/>
        <w:jc w:val="left"/>
        <w:rPr/>
      </w:pPr>
      <w:r>
        <w:rPr>
          <w:rFonts w:ascii="sans-serif" w:hAnsi="sans-serif"/>
          <w:b w:val="false"/>
          <w:i/>
          <w:color w:val="000000"/>
          <w:sz w:val="20"/>
        </w:rPr>
        <w:t xml:space="preserve">Working Capital: </w:t>
      </w:r>
      <w:r>
        <w:rPr>
          <w:rFonts w:ascii="sans-serif" w:hAnsi="sans-serif"/>
          <w:b w:val="false"/>
          <w:color w:val="000000"/>
          <w:sz w:val="20"/>
        </w:rPr>
        <w:t>The decrease in working capital as of June 30, 2026, as compared to December 31, 2025, was primarily due to the payments for repurchases of our common stock, partially offset by the favorable impact to our net current assets resulting from an increase in net product revenues. In the future, our working capital may be impacted by one of these factors or other factors, the amounts and timing of which are variable.</w:t>
      </w:r>
    </w:p>
    <w:p>
      <w:pPr>
        <w:pStyle w:val="TextBody"/>
        <w:bidi w:val="0"/>
        <w:spacing w:lineRule="auto" w:line="288" w:before="180" w:after="283"/>
        <w:ind w:left="0" w:right="0" w:firstLine="720"/>
        <w:jc w:val="left"/>
        <w:rPr/>
      </w:pPr>
      <w:r>
        <w:rPr>
          <w:rFonts w:ascii="sans-serif" w:hAnsi="sans-serif"/>
          <w:b w:val="false"/>
          <w:i/>
          <w:color w:val="000000"/>
          <w:sz w:val="20"/>
        </w:rPr>
        <w:t xml:space="preserve">Cash, Cash Equivalents and Marketable Securities: </w:t>
      </w:r>
      <w:r>
        <w:rPr>
          <w:rFonts w:ascii="sans-serif" w:hAnsi="sans-serif"/>
          <w:b w:val="false"/>
          <w:color w:val="000000"/>
          <w:sz w:val="20"/>
        </w:rPr>
        <w:t>Cash and cash equivalents primarily consist of deposits at major banks, money market funds, commercial paper and other securities with original maturities 90 days or less. Marketable securities primarily consist of debt securities available-for-sale and certificates of deposit. For additional information regarding our cash, cash equivalents and marketable securities, see “Note 5. Cash and Marketable Securities” of the “Notes to Condensed Consolidated Financial Statements” included in Part I, Item 1 of this Quarterly Report on Form 10-Q. The decrease in cash, cash equivalents and marketable securities as of June 30, 2026, as compared to December 31, 2025, was primarily due to cash payments to repurchase our common stock, cash payments to support our development and discovery programs, and operating cash payments for employee-related expenditures, partially offset by cash inflows generated by our operations from sales of our products and our commercial collaboration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2255"/>
                <wp:effectExtent l="0" t="0" r="0" b="0"/>
                <wp:wrapNone/>
                <wp:docPr id="36" name="Frame35"/>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Cash flow activities were as follows (dollars in thousands):</w:t>
      </w:r>
    </w:p>
    <w:tbl>
      <w:tblPr>
        <w:tblW w:w="9320" w:type="dxa"/>
        <w:jc w:val="center"/>
        <w:tblInd w:w="0" w:type="dxa"/>
        <w:tblLayout w:type="fixed"/>
        <w:tblCellMar>
          <w:top w:w="28" w:type="dxa"/>
          <w:left w:w="28" w:type="dxa"/>
          <w:bottom w:w="28" w:type="dxa"/>
          <w:right w:w="28" w:type="dxa"/>
        </w:tblCellMar>
      </w:tblPr>
      <w:tblGrid>
        <w:gridCol w:w="1501"/>
        <w:gridCol w:w="1315"/>
        <w:gridCol w:w="1323"/>
        <w:gridCol w:w="226"/>
        <w:gridCol w:w="1036"/>
        <w:gridCol w:w="109"/>
        <w:gridCol w:w="109"/>
        <w:gridCol w:w="109"/>
        <w:gridCol w:w="109"/>
        <w:gridCol w:w="226"/>
        <w:gridCol w:w="1036"/>
        <w:gridCol w:w="109"/>
        <w:gridCol w:w="109"/>
        <w:gridCol w:w="109"/>
        <w:gridCol w:w="109"/>
        <w:gridCol w:w="353"/>
        <w:gridCol w:w="353"/>
        <w:gridCol w:w="1079"/>
      </w:tblGrid>
      <w:tr>
        <w:trPr/>
        <w:tc>
          <w:tcPr>
            <w:tcW w:w="150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Percent Change</w:t>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559,586 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260,430 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115</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provided by investing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40,360 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297,795 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-86</w:t>
            </w:r>
          </w:p>
        </w:tc>
        <w:tc>
          <w:tcPr>
            <w:tcW w:w="10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Net cash used in financing activities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(800,986)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(611,166)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31</w:t>
            </w:r>
          </w:p>
        </w:tc>
        <w:tc>
          <w:tcPr>
            <w:tcW w:w="10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r>
    </w:tbl>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Operating Activities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Cash provided by operating activities is derived by adjusting our net income for non-cash operating items such as deferred taxes, stock-based compensation, depreciation and amortization, non-cash lease expense, impairment of long-lived assets, acquired in-process research and development technology, and changes in operating assets and liabilities, which reflect timing differences between the receipt and payment of cash associated with transactions and when they are recognized in our Condensed Consolidated Statements of Income.</w:t>
      </w:r>
    </w:p>
    <w:p>
      <w:pPr>
        <w:pStyle w:val="TextBody"/>
        <w:bidi w:val="0"/>
        <w:spacing w:lineRule="auto" w:line="288" w:before="180" w:after="283"/>
        <w:ind w:left="0" w:right="0" w:firstLine="720"/>
        <w:jc w:val="left"/>
        <w:rPr/>
      </w:pPr>
      <w:r>
        <w:rPr>
          <w:rFonts w:ascii="sans-serif" w:hAnsi="sans-serif"/>
          <w:b w:val="false"/>
          <w:color w:val="000000"/>
          <w:sz w:val="20"/>
        </w:rPr>
        <w:t>Net cash provided by operating activities increased for the six months ended June 30, 2026, as compared to the corresponding prior year period, primarily due to an increase</w:t>
      </w:r>
      <w:r>
        <w:rPr>
          <w:color w:val="000000"/>
          <w:shd w:fill="FFFFFF" w:val="clear"/>
        </w:rPr>
        <w:t xml:space="preserve"> </w:t>
      </w:r>
      <w:r>
        <w:rPr>
          <w:rFonts w:ascii="sans-serif" w:hAnsi="sans-serif"/>
          <w:b w:val="false"/>
          <w:color w:val="000000"/>
          <w:sz w:val="20"/>
          <w:shd w:fill="FFFFFF" w:val="clear"/>
        </w:rPr>
        <w:t>in</w:t>
      </w:r>
      <w:r>
        <w:rPr>
          <w:color w:val="000000"/>
        </w:rPr>
        <w:t xml:space="preserve"> </w:t>
      </w:r>
      <w:r>
        <w:rPr>
          <w:rFonts w:ascii="sans-serif" w:hAnsi="sans-serif"/>
          <w:b w:val="false"/>
          <w:color w:val="000000"/>
          <w:sz w:val="20"/>
        </w:rPr>
        <w:t xml:space="preserve">cash received on sales of our products, and a decrease in </w:t>
      </w:r>
      <w:r>
        <w:rPr>
          <w:rFonts w:ascii="sans-serif" w:hAnsi="sans-serif"/>
          <w:b w:val="false"/>
          <w:color w:val="000000"/>
          <w:sz w:val="20"/>
          <w:shd w:fill="FFFFFF" w:val="clear"/>
        </w:rPr>
        <w:t>cash paid for certain operating expenses, primarily due to the federal cash tax benefit related to the One Big Beautiful Bill Act.</w:t>
      </w:r>
    </w:p>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Investing Activities</w:t>
      </w:r>
    </w:p>
    <w:p>
      <w:pPr>
        <w:pStyle w:val="TextBody"/>
        <w:bidi w:val="0"/>
        <w:spacing w:lineRule="auto" w:line="288" w:before="180" w:after="283"/>
        <w:ind w:left="0" w:right="0" w:firstLine="720"/>
        <w:jc w:val="left"/>
        <w:rPr/>
      </w:pPr>
      <w:r>
        <w:rPr>
          <w:rFonts w:ascii="sans-serif" w:hAnsi="sans-serif"/>
          <w:b w:val="false"/>
          <w:color w:val="000000"/>
          <w:sz w:val="20"/>
          <w:shd w:fill="FFFFFF" w:val="clear"/>
        </w:rPr>
        <w:t>The changes in cash flows from investing activities primarily relates to the timing of marketable securities investment activity, acquisition of in-process research and development technology and capital expenditures. Our capital expenditures primarily consist of investments to expand our operations and acquire assets that further support our research and development activities</w:t>
      </w:r>
      <w:r>
        <w:rPr>
          <w:rFonts w:ascii="sans-serif" w:hAnsi="sans-serif"/>
          <w:b w:val="false"/>
          <w:color w:val="000000"/>
          <w:sz w:val="20"/>
        </w:rPr>
        <w:t>.</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Net cash provided by investing activities decreased for the six months ended June 30, 2026, as compared to the corresponding prior year period, primarily due to a decrease in cash proceeds from maturities and sales of marketable securities and an increase in purchases of marketable securities, partially offset by a decrease in cash paid for acquired in-process research and development technology related to certain in-licensing collaboration arrangements.</w:t>
      </w:r>
    </w:p>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Financing Activities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changes in cash flows from financing activities primarily relate to payments for repurchases of common stock, proceeds from employee stock programs and taxes paid related to net share settlement of equity awards.</w:t>
      </w:r>
    </w:p>
    <w:p>
      <w:pPr>
        <w:pStyle w:val="TextBody"/>
        <w:bidi w:val="0"/>
        <w:spacing w:lineRule="auto" w:line="288" w:before="180" w:after="283"/>
        <w:ind w:left="0" w:right="0" w:firstLine="720"/>
        <w:jc w:val="left"/>
        <w:rPr/>
      </w:pPr>
      <w:r>
        <w:rPr>
          <w:rFonts w:ascii="sans-serif" w:hAnsi="sans-serif"/>
          <w:b w:val="false"/>
          <w:color w:val="000000"/>
          <w:sz w:val="20"/>
          <w:shd w:fill="FFFFFF" w:val="clear"/>
        </w:rPr>
        <w:t xml:space="preserve">Net cash </w:t>
      </w:r>
      <w:r>
        <w:rPr>
          <w:rFonts w:ascii="sans-serif" w:hAnsi="sans-serif"/>
          <w:b w:val="false"/>
          <w:color w:val="000000"/>
          <w:sz w:val="20"/>
        </w:rPr>
        <w:t xml:space="preserve">used in </w:t>
      </w:r>
      <w:r>
        <w:rPr>
          <w:rFonts w:ascii="sans-serif" w:hAnsi="sans-serif"/>
          <w:b w:val="false"/>
          <w:color w:val="000000"/>
          <w:sz w:val="20"/>
          <w:shd w:fill="FFFFFF" w:val="clear"/>
        </w:rPr>
        <w:t xml:space="preserve">financing activities increased for the </w:t>
      </w:r>
      <w:r>
        <w:rPr>
          <w:rFonts w:ascii="sans-serif" w:hAnsi="sans-serif"/>
          <w:b w:val="false"/>
          <w:color w:val="000000"/>
          <w:sz w:val="20"/>
        </w:rPr>
        <w:t>six months ended June 30, 2026, as compared to the corresponding prior year period, primarily due to an increase in payments for repurchases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 xml:space="preserve">Contractual Obligations </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There were no material changes outside of the ordinary course of business in our contractual obligations as of June 30, 2026 from those disclosed in our Fiscal 2025 Form 10-K. For more information about our leases and our other contractual obligations, see “Note 12. Commitments and Contingencies” of the “Notes to Consolidated Financial Statements” included in Part II, Item 8 of our Fiscal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Critical Accounting Policies and Estimates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The preparation of our Condensed Consolidated Financial Statements conforms to accounting principles generally accepted in the U.S. which requires management to make judgments, estimates and assumptions that affect the reported amounts of assets, liabilities, equity, revenues and expenses and related disclosures.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our Condensed Consolidated Financial Statements. On an ongoing basis, management evaluates its estimates, including, but not limited to: those related to revenue recognition, including determining the nature and timing of satisfaction of performance obligations, and determining the standalone selling price of performance obligations, and variable consideration such as rebates,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62255"/>
                <wp:effectExtent l="0" t="0" r="0" b="0"/>
                <wp:wrapNone/>
                <wp:docPr id="37" name="Frame36"/>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chargebacks, sales returns and sales allowances as well as milestones included in collaboration arrangements; the accrual for certain liabilities, including accrued clinical trial liabilities; and valuations of equity awards used to determine stock-based compensation, including certain awards with vesting subject to market or performance conditions; and the amounts of deferred tax assets and liabilities, including the related valuation allowance. We base our estimates on historical experience and on various other market-specific and other relevant assumptions that we believe to be reasonable under the circumstances, the results of which form the basis for making judgments about the carrying values of assets and liabilities that are not readily apparent from other sources. Our senior management has discussed the development, selection and disclosure of these estimates with the Audit Committee of our Board of Directors. Actual results could differ materially from those estimates.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We believe our critical accounting policies relating to revenue recognition, clinical trial and collaboration accruals, stock-based compensation and income taxes reflect the more significant estimates and assumptions used in the preparation of our Condensed Consolidated Financial Statements.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There have been no significant changes in our critical accounting policies and estimates during the six months ended June 30, 2026, as compared to the critical accounting policies and estimates disclosed in “Management’s Discussion and Analysis of Financial Condition and Results of Operations” included in Part II, Item 7 of our Fiscal 2025 Form 10-K.</w:t>
      </w:r>
    </w:p>
    <w:p>
      <w:pPr>
        <w:pStyle w:val="TextBody"/>
        <w:bidi w:val="0"/>
        <w:spacing w:lineRule="auto" w:line="288" w:before="180" w:after="283"/>
        <w:jc w:val="left"/>
        <w:rPr>
          <w:rFonts w:ascii="sans-serif" w:hAnsi="sans-serif"/>
          <w:b/>
          <w:color w:val="000000"/>
          <w:sz w:val="20"/>
        </w:rPr>
      </w:pPr>
      <w:r>
        <w:rPr>
          <w:rFonts w:ascii="sans-serif" w:hAnsi="sans-serif"/>
          <w:b/>
          <w:color w:val="000000"/>
          <w:sz w:val="20"/>
        </w:rPr>
        <w:t>Recent Accounting Pronouncements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For a description of the expected impact of recent accounting pronouncements, see “Note 1. Organization and Summary of Significant Accounting Policies” of the “Notes to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3. Quantitative and Qualitative Disclosures About Market Risk.</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Our market risks, as of June 30, 2026, have not changed significantly from those described in Part II, Item 7A of our Fiscal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4. Controls and Procedures.</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Evaluation of Disclosure Controls and Procedures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Based on the evaluation of our disclosure controls and procedures (as defined in Rules 13a-15(e) or 15d-15(e) of the Securities Exchange Act of 1934, as amended (the Exchange Act)) required by Rules 13a-15(b) or 15d-15(b) of the Exchange Act, our Chief Executive Officer and Chief Financial Officer have concluded that as of the end of the period covered by this report, our disclosure controls and procedures were effective at the reasonable assurance level.</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Limitations on the Effectiveness of Controls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A control system, no matter how well-conceived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pStyle w:val="TextBody"/>
        <w:bidi w:val="0"/>
        <w:spacing w:lineRule="auto" w:line="288" w:before="180" w:after="283"/>
        <w:ind w:left="0" w:right="0" w:firstLine="720"/>
        <w:jc w:val="left"/>
        <w:rPr>
          <w:rFonts w:ascii="sans-serif" w:hAnsi="sans-serif"/>
          <w:b/>
          <w:i/>
          <w:color w:val="000000"/>
          <w:sz w:val="20"/>
        </w:rPr>
      </w:pPr>
      <w:r>
        <w:rPr>
          <w:rFonts w:ascii="sans-serif" w:hAnsi="sans-serif"/>
          <w:b/>
          <w:i/>
          <w:color w:val="000000"/>
          <w:sz w:val="20"/>
        </w:rPr>
        <w:t>Changes in Internal Control over Financial Reporting</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There were no changes in our internal control over financial reporting that occurred during our most recent fiscal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62255"/>
                <wp:effectExtent l="0" t="0" r="0" b="0"/>
                <wp:wrapNone/>
                <wp:docPr id="38" name="Frame37"/>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center"/>
        <w:rPr/>
      </w:pPr>
      <w:r>
        <w:rPr>
          <w:rFonts w:ascii="sans-serif" w:hAnsi="sans-serif"/>
          <w:b/>
          <w:color w:val="000000"/>
          <w:sz w:val="20"/>
        </w:rPr>
        <w:t>PART II</w:t>
      </w:r>
      <w:r>
        <w:rPr>
          <w:color w:val="000000"/>
        </w:rPr>
        <w:t>—</w:t>
      </w:r>
      <w:r>
        <w:rPr>
          <w:rFonts w:ascii="sans-serif" w:hAnsi="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1. Legal Proceedings.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information required to be set forth under this Item 1 is incorporated by reference to “Note 11. Commitments and Contingencies – Legal Proceedings” of the Notes to Condensed Consolidated Financial Statements”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1A. Risk Factors.</w:t>
      </w:r>
    </w:p>
    <w:p>
      <w:pPr>
        <w:pStyle w:val="TextBody"/>
        <w:bidi w:val="0"/>
        <w:spacing w:lineRule="auto" w:line="288" w:before="180" w:after="283"/>
        <w:ind w:left="0" w:right="0" w:firstLine="720"/>
        <w:jc w:val="left"/>
        <w:rPr>
          <w:rFonts w:ascii="sans-serif" w:hAnsi="sans-serif"/>
          <w:b w:val="false"/>
          <w:i/>
          <w:color w:val="000000"/>
          <w:sz w:val="20"/>
        </w:rPr>
      </w:pPr>
      <w:r>
        <w:rPr>
          <w:rFonts w:ascii="sans-serif" w:hAnsi="sans-serif"/>
          <w:b w:val="false"/>
          <w:i/>
          <w:color w:val="000000"/>
          <w:sz w:val="20"/>
        </w:rPr>
        <w:t>In addition to the information discussed elsewhere in this Quarterly Report on Form 10-Q, you should carefully review and consider the risk factors disclosed in Part I, Item 1A of our Fiscal 2025 Form 10-K. These risks could materially and adversely affect our business, financial condition and results of operations. The risks and uncertainties described therein are not the only ones we face. Additional risks and uncertainties not currently known to us or that we deem immaterial also may impair our business operations. As of the date of this Quarterly Report on Form 10-Q, there have been no material changes to the risk factors described in our Fiscal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2. Unregistered Sales of Equity Securities and Use of Proceeds.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In October 2025, our Board of Directors authorized a stock repurchase program (SRP) to acquire up to $750.0 million of our outstanding common stock before December 31, 2026 (the October 2025 SRP). In May 2026, our Board of Directors authorized the repurchase of up to an additional $750.0 million of our outstanding common stock before December 31, 2027 (the May 2026 SRP). Under these SRPs, as of June 30, 2026, we have repurchased 20.2 million shares of common stock for an aggregate purchase price of $902.2 million and have completed the October 2025 SRP. As of June 30, 2026, approximately $597.8 million remained available under the May 2026 SRP for future stock repurchases before December 31, 2027. </w:t>
      </w:r>
    </w:p>
    <w:p>
      <w:pPr>
        <w:pStyle w:val="TextBody"/>
        <w:bidi w:val="0"/>
        <w:spacing w:before="180" w:after="283"/>
        <w:ind w:left="0" w:right="0" w:firstLine="720"/>
        <w:jc w:val="left"/>
        <w:rPr/>
      </w:pPr>
      <w:r>
        <w:rPr/>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The following table summarizes the stock repurchase activity for the three months ended June 30, 2026 and the approximate dollar value of shares that may yet be purchased pursuant to our SRPs (in thousands, except per share data):</w:t>
      </w:r>
    </w:p>
    <w:tbl>
      <w:tblPr>
        <w:tblW w:w="10205" w:type="dxa"/>
        <w:jc w:val="center"/>
        <w:tblInd w:w="0" w:type="dxa"/>
        <w:tblLayout w:type="fixed"/>
        <w:tblCellMar>
          <w:top w:w="28" w:type="dxa"/>
          <w:left w:w="28" w:type="dxa"/>
          <w:bottom w:w="28" w:type="dxa"/>
          <w:right w:w="28" w:type="dxa"/>
        </w:tblCellMar>
      </w:tblPr>
      <w:tblGrid>
        <w:gridCol w:w="366"/>
        <w:gridCol w:w="322"/>
        <w:gridCol w:w="325"/>
        <w:gridCol w:w="530"/>
        <w:gridCol w:w="530"/>
        <w:gridCol w:w="532"/>
        <w:gridCol w:w="109"/>
        <w:gridCol w:w="109"/>
        <w:gridCol w:w="109"/>
        <w:gridCol w:w="299"/>
        <w:gridCol w:w="934"/>
        <w:gridCol w:w="144"/>
        <w:gridCol w:w="109"/>
        <w:gridCol w:w="109"/>
        <w:gridCol w:w="109"/>
        <w:gridCol w:w="780"/>
        <w:gridCol w:w="780"/>
        <w:gridCol w:w="782"/>
        <w:gridCol w:w="109"/>
        <w:gridCol w:w="109"/>
        <w:gridCol w:w="109"/>
        <w:gridCol w:w="463"/>
        <w:gridCol w:w="1943"/>
        <w:gridCol w:w="225"/>
        <w:gridCol w:w="109"/>
        <w:gridCol w:w="160"/>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Approximate Dollar Value of Shares That May Yet Be Purchased Under the Programs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April 4, 2026 - May 1, 2026</w:t>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3,091 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44.85 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3,091 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770,779 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May 2, 2026 - May 29, 2026</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48.52 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1,717 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687,473 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May 30, 2026 - July 3, 2026</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1,705 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52.59 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1,705 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w:t>
            </w:r>
          </w:p>
        </w:tc>
        <w:tc>
          <w:tcPr>
            <w:tcW w:w="1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597,778 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Total</w:t>
            </w:r>
          </w:p>
        </w:tc>
        <w:tc>
          <w:tcPr>
            <w:tcW w:w="10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6,513 </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000000"/>
                <w:sz w:val="20"/>
              </w:rPr>
            </w:pPr>
            <w:r>
              <w:rPr>
                <w:rFonts w:ascii="sans-serif" w:hAnsi="sans-serif"/>
                <w:b w:val="false"/>
                <w:color w:val="000000"/>
                <w:sz w:val="20"/>
              </w:rPr>
              <w:t>6,513 </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 xml:space="preserve">Stock repurchases under these SRPs may be made from time to time through a variety of methods, which may include open market purchases, in block trades, Rule 10b5-1 trading plans, accelerated share repurchase transactions, exchange transactions, or any combination of such methods. The timing and amount of any stock repurchases under the SRPs will be based on a variety of factors, including ongoing assessments of the capital needs of the business, alternative investment opportunities, the market price of our common stock and general market conditions. The SRPs do not obligate us to acquire any amount of our common stock, and the SRPs may be modified, suspended or discontinued at any time without prior notice.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3. Defaults Upon Senior Securities.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62255"/>
                <wp:effectExtent l="0" t="0" r="0" b="0"/>
                <wp:wrapNone/>
                <wp:docPr id="39" name="Frame38"/>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38</w:t>
                      </w:r>
                    </w:p>
                  </w:txbxContent>
                </v:textbox>
                <w10:wrap type="none"/>
              </v:rect>
            </w:pict>
          </mc:Fallback>
        </mc:AlternateContent>
      </w:r>
    </w:p>
    <w:p>
      <w:pPr>
        <w:pStyle w:val="TextBody"/>
        <w:bidi w:val="0"/>
        <w:spacing w:lineRule="auto" w:line="288" w:before="30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4. Mine Safety Disclosures.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0000"/>
          <w:sz w:val="20"/>
        </w:rPr>
      </w:pPr>
      <w:r>
        <w:rPr>
          <w:rFonts w:ascii="sans-serif" w:hAnsi="sans-serif"/>
          <w:b/>
          <w:color w:val="000000"/>
          <w:sz w:val="20"/>
        </w:rPr>
        <w:t>Item 5. Other Information.</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Mary C. Beckerle, a member of our Board of Directors, entered into a pre-arranged stock trading plan on May 8, 2026. Dr. Beckerle's trading plan provides for the sale of up to 22,035 shares of our common stock between August 7, 2026 and June 18, 2027. This trading plan is intended to satisfy the affirmative defense of Rule 10b5-1(c) under the Exchange Act and Exelixis’ policies regarding transactions in Exelixis securities.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During the three months ended June 30, 2026, no other directors or Section 16 officers of the Company adopted, modified or terminated any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0"/>
        <w:gridCol w:w="308"/>
        <w:gridCol w:w="310"/>
        <w:gridCol w:w="109"/>
        <w:gridCol w:w="109"/>
        <w:gridCol w:w="109"/>
        <w:gridCol w:w="856"/>
        <w:gridCol w:w="594"/>
        <w:gridCol w:w="596"/>
        <w:gridCol w:w="111"/>
        <w:gridCol w:w="111"/>
        <w:gridCol w:w="111"/>
        <w:gridCol w:w="220"/>
        <w:gridCol w:w="220"/>
        <w:gridCol w:w="221"/>
        <w:gridCol w:w="116"/>
        <w:gridCol w:w="116"/>
        <w:gridCol w:w="116"/>
        <w:gridCol w:w="335"/>
        <w:gridCol w:w="335"/>
        <w:gridCol w:w="336"/>
        <w:gridCol w:w="116"/>
        <w:gridCol w:w="116"/>
        <w:gridCol w:w="116"/>
        <w:gridCol w:w="440"/>
        <w:gridCol w:w="440"/>
        <w:gridCol w:w="441"/>
        <w:gridCol w:w="116"/>
        <w:gridCol w:w="116"/>
        <w:gridCol w:w="116"/>
        <w:gridCol w:w="249"/>
        <w:gridCol w:w="249"/>
        <w:gridCol w:w="251"/>
        <w:gridCol w:w="114"/>
        <w:gridCol w:w="114"/>
        <w:gridCol w:w="114"/>
        <w:gridCol w:w="376"/>
        <w:gridCol w:w="376"/>
        <w:gridCol w:w="377"/>
        <w:gridCol w:w="109"/>
        <w:gridCol w:w="170"/>
      </w:tblGrid>
      <w:tr>
        <w:trPr/>
        <w:tc>
          <w:tcPr>
            <w:tcW w:w="3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Incorporation by Reference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Exhibit Description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File Number</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Exhibit/Appendix Reference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sans-serif" w:hAnsi="sans-serif"/>
                <w:b/>
                <w:color w:val="000000"/>
                <w:sz w:val="18"/>
              </w:rPr>
            </w:pPr>
            <w:r>
              <w:rPr>
                <w:rFonts w:ascii="sans-serif" w:hAnsi="sans-serif"/>
                <w:b/>
                <w:color w:val="000000"/>
                <w:sz w:val="18"/>
              </w:rPr>
              <w:t>Filing Date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000000"/>
                <w:sz w:val="18"/>
              </w:rPr>
            </w:pPr>
            <w:r>
              <w:rPr>
                <w:rFonts w:ascii="sans-serif" w:hAnsi="sans-serif"/>
                <w:b/>
                <w:color w:val="000000"/>
                <w:sz w:val="18"/>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sans-serif" w:hAnsi="sans-serif"/>
                  <w:b w:val="false"/>
                  <w:color w:val="0000FF"/>
                  <w:sz w:val="20"/>
                  <w:u w:val="single"/>
                </w:rPr>
                <w:t>Restated Certificate of Incorporation of Exelixis, Inc.</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10-Q</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000-30235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8/5/2021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sans-serif" w:hAnsi="sans-serif"/>
                  <w:b w:val="false"/>
                  <w:color w:val="0000FF"/>
                  <w:sz w:val="20"/>
                  <w:u w:val="single"/>
                </w:rPr>
                <w:t>Certificate of Change of Registered Agent and/or Registered Office of Exelixis, Inc.</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10-Q</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000-30235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4/30/2024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sans-serif" w:hAnsi="sans-serif"/>
                  <w:b w:val="false"/>
                  <w:color w:val="0000FF"/>
                  <w:sz w:val="20"/>
                  <w:u w:val="single"/>
                </w:rPr>
                <w:t>Amended and Restated Bylaws of Exelixis, Inc.</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000-30235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12/20/2023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val="false"/>
                <w:color w:val="000000"/>
                <w:sz w:val="20"/>
              </w:rPr>
              <w:t>10.1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sans-serif" w:hAnsi="sans-serif"/>
                  <w:b w:val="false"/>
                  <w:color w:val="0000FF"/>
                  <w:sz w:val="20"/>
                  <w:u w:val="single"/>
                </w:rPr>
                <w:t>Exelixis, Inc. 2017 Equity Incentive Plan</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000-30235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5/29/2026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sans-serif" w:hAnsi="sans-serif"/>
                <w:b w:val="false"/>
                <w:color w:val="000000"/>
                <w:sz w:val="20"/>
              </w:rPr>
              <w:t>10.2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elixis-nonxemployeedirec.htm">
              <w:r>
                <w:rPr>
                  <w:rStyle w:val="InternetLink"/>
                  <w:rFonts w:ascii="sans-serif" w:hAnsi="sans-serif"/>
                  <w:b w:val="false"/>
                  <w:color w:val="0000FF"/>
                  <w:sz w:val="20"/>
                  <w:u w:val="single"/>
                </w:rPr>
                <w:t>Non-Employee Director Equity Compensation Policy</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el20260630exhibit311_q226.htm">
              <w:r>
                <w:rPr>
                  <w:rStyle w:val="InternetLink"/>
                  <w:rFonts w:ascii="sans-serif" w:hAnsi="sans-serif"/>
                  <w:b w:val="false"/>
                  <w:color w:val="0000FF"/>
                  <w:sz w:val="20"/>
                  <w:u w:val="single"/>
                </w:rPr>
                <w:t>Certification of Principal Executive Officer Pursuant to Exchange Act Rules 13a-14(a) and Rule 15d-14(a)</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el20260636exhibit312_q226.htm">
              <w:r>
                <w:rPr>
                  <w:rStyle w:val="InternetLink"/>
                  <w:rFonts w:ascii="sans-serif" w:hAnsi="sans-serif"/>
                  <w:b w:val="false"/>
                  <w:color w:val="0000FF"/>
                  <w:sz w:val="20"/>
                  <w:u w:val="single"/>
                </w:rPr>
                <w:t>Certification of Principal Financial Officer Pursuant to Exchange Act Rules 13a-14(a) and Rule 15d-14(a)</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el20260630exhibit321_q226.htm">
              <w:r>
                <w:rPr>
                  <w:rStyle w:val="InternetLink"/>
                  <w:rFonts w:ascii="sans-serif" w:hAnsi="sans-serif"/>
                  <w:b w:val="false"/>
                  <w:color w:val="0000FF"/>
                  <w:sz w:val="20"/>
                  <w:u w:val="single"/>
                </w:rPr>
                <w:t>Certifications of Principal Executive Officer and Principal Financial Officer Pursuant to 18 U.S.C. Section 1350</w:t>
              </w:r>
            </w:hyperlink>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XBRL Instance Document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2"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The XBRL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Inline XBRL Taxonomy Extension Schema Document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Inline XBRL Taxonomy Extension Calculation Linkbase Document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Inline XBRL Taxonomy Extension Definition Linkbase Document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Inline XBRL Taxonomy Extension Labels Linkbase Document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0"/>
              </w:rPr>
            </w:pPr>
            <w:r>
              <w:rPr>
                <w:rFonts w:ascii="sans-serif" w:hAnsi="sans-serif"/>
                <w:b w:val="false"/>
                <w:color w:val="000000"/>
                <w:sz w:val="20"/>
              </w:rPr>
              <w:t>Inline XBRL Taxonomy Extension Presentation Linkbase Document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1"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Management contract or compensatory plan.</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1"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This certification accompanies this Quarterly Report on Form 10-Q, is not deemed filed with the SEC and is not to be incorporated by reference into any filing of Exelixis, Inc. under the Securities Act of 1933, as amended, or the Securities Exchange Act of 1934, as amended (whether made before or after the date of this Quarterly Report on Form 10-Q), irrespective of any general incorporation language contained in such filing.</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39</w:t>
                      </w:r>
                    </w:p>
                  </w:txbxContent>
                </v:textbox>
                <w10:wrap type="none"/>
              </v:rect>
            </w:pict>
          </mc:Fallback>
        </mc:AlternateContent>
      </w:r>
    </w:p>
    <w:p>
      <w:pPr>
        <w:pStyle w:val="TextBody"/>
        <w:bidi w:val="0"/>
        <w:spacing w:lineRule="auto" w:line="288" w:before="300" w:after="283"/>
        <w:jc w:val="left"/>
        <w:rPr/>
      </w:pPr>
      <w:hyperlink w:anchor="i1044e86f88b145018a6223a3b0646464_7">
        <w:r>
          <w:rPr>
            <w:rStyle w:val="InternetLink"/>
            <w:rFonts w:ascii="sans-serif" w:hAnsi="sans-serif"/>
            <w:b w:val="false"/>
            <w:color w:val="0000FF"/>
            <w:sz w:val="16"/>
            <w:u w:val="single"/>
          </w:rPr>
          <w:t>Table of Contents</w:t>
        </w:r>
      </w:hyperlink>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thereunto duly authorized. </w:t>
      </w:r>
    </w:p>
    <w:tbl>
      <w:tblPr>
        <w:tblW w:w="9400" w:type="dxa"/>
        <w:jc w:val="right"/>
        <w:tblInd w:w="0" w:type="dxa"/>
        <w:tblLayout w:type="fixed"/>
        <w:tblCellMar>
          <w:top w:w="28" w:type="dxa"/>
          <w:left w:w="28" w:type="dxa"/>
          <w:bottom w:w="28" w:type="dxa"/>
          <w:right w:w="28" w:type="dxa"/>
        </w:tblCellMar>
      </w:tblPr>
      <w:tblGrid>
        <w:gridCol w:w="570"/>
        <w:gridCol w:w="500"/>
        <w:gridCol w:w="504"/>
        <w:gridCol w:w="109"/>
        <w:gridCol w:w="109"/>
        <w:gridCol w:w="109"/>
        <w:gridCol w:w="139"/>
        <w:gridCol w:w="139"/>
        <w:gridCol w:w="141"/>
        <w:gridCol w:w="2073"/>
        <w:gridCol w:w="2073"/>
        <w:gridCol w:w="293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000000"/>
                <w:sz w:val="20"/>
              </w:rPr>
              <w:t>E</w:t>
            </w:r>
            <w:r>
              <w:rPr>
                <w:rFonts w:ascii="sans-serif" w:hAnsi="sans-serif"/>
                <w:b w:val="false"/>
                <w:color w:val="000000"/>
                <w:sz w:val="16"/>
              </w:rPr>
              <w:t xml:space="preserve">XELIXIS, </w:t>
            </w:r>
            <w:r>
              <w:rPr>
                <w:rFonts w:ascii="sans-serif" w:hAnsi="sans-serif"/>
                <w:b w:val="false"/>
                <w:color w:val="000000"/>
                <w:sz w:val="20"/>
              </w:rPr>
              <w:t>I</w:t>
            </w:r>
            <w:r>
              <w:rPr>
                <w:rFonts w:ascii="sans-serif" w:hAnsi="sans-serif"/>
                <w:b w:val="false"/>
                <w:color w:val="000000"/>
                <w:sz w:val="16"/>
              </w:rPr>
              <w:t>NC.</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By:</w:t>
            </w:r>
          </w:p>
        </w:tc>
        <w:tc>
          <w:tcPr>
            <w:tcW w:w="7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/s/ Christopher J. Senner</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000000"/>
                <w:sz w:val="20"/>
              </w:rPr>
            </w:pPr>
            <w:r>
              <w:rPr>
                <w:rFonts w:ascii="sans-serif" w:hAnsi="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Christopher J. Senner</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20"/>
              </w:rPr>
            </w:pPr>
            <w:r>
              <w:rPr>
                <w:rFonts w:ascii="sans-serif" w:hAnsi="sans-serif"/>
                <w:b w:val="false"/>
                <w:color w:val="000000"/>
                <w:sz w:val="20"/>
              </w:rPr>
              <w:t xml:space="preserve">Executive Vice President and Chief Financial Officer </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000000"/>
                <w:sz w:val="20"/>
              </w:rPr>
            </w:pPr>
            <w:r>
              <w:rPr>
                <w:rFonts w:ascii="sans-serif" w:hAnsi="sans-serif"/>
                <w:b w:val="false"/>
                <w:i/>
                <w:color w:val="000000"/>
                <w:sz w:val="20"/>
              </w:rPr>
              <w:t>(Duly Authorized Officer and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62255"/>
                <wp:effectExtent l="0" t="0" r="0" b="0"/>
                <wp:wrapNone/>
                <wp:docPr id="41" name="Frame40"/>
                <a:graphic xmlns:a="http://schemas.openxmlformats.org/drawingml/2006/main">
                  <a:graphicData uri="http://schemas.microsoft.com/office/word/2010/wordprocessingShape">
                    <wps:wsp>
                      <wps:cNvSpPr txBox="1"/>
                      <wps:spPr>
                        <a:xfrm>
                          <a:off x="0" y="0"/>
                          <a:ext cx="6480175" cy="262255"/>
                        </a:xfrm>
                        <a:prstGeom prst="rect"/>
                        <a:solidFill>
                          <a:srgbClr val="FFFFFF"/>
                        </a:solidFill>
                      </wps:spPr>
                      <wps:txb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180" w:after="283"/>
                        <w:jc w:val="center"/>
                        <w:rPr>
                          <w:rFonts w:ascii="sans-serif" w:hAnsi="sans-serif"/>
                          <w:b w:val="false"/>
                          <w:color w:val="000000"/>
                          <w:sz w:val="20"/>
                        </w:rPr>
                      </w:pPr>
                      <w:r>
                        <w:rPr>
                          <w:rFonts w:ascii="sans-serif" w:hAnsi="sans-serif"/>
                          <w:b w:val="false"/>
                          <w:color w:val="000000"/>
                          <w:sz w:val="20"/>
                        </w:rPr>
                        <w:t>40</w:t>
                      </w:r>
                    </w:p>
                  </w:txbxContent>
                </v:textbox>
                <w10:wrap type="none"/>
              </v:rect>
            </w:pict>
          </mc:Fallback>
        </mc:AlternateContent>
      </w:r>
    </w:p>
    <w:p>
      <w:pPr>
        <w:pStyle w:val="TextBody"/>
        <w:bidi w:val="0"/>
        <w:spacing w:lineRule="auto" w:line="288" w:before="60" w:after="283"/>
        <w:jc w:val="right"/>
        <w:rPr>
          <w:rFonts w:ascii="Times New Roman;serif" w:hAnsi="Times New Roman;serif"/>
          <w:b/>
          <w:color w:val="000000"/>
          <w:sz w:val="24"/>
        </w:rPr>
      </w:pPr>
      <w:r>
        <w:rPr>
          <w:rFonts w:ascii="Times New Roman;serif" w:hAnsi="Times New Roman;serif"/>
          <w:b/>
          <w:color w:val="000000"/>
          <w:sz w:val="24"/>
        </w:rPr>
        <w:t>Exhibit 10.2</w:t>
      </w:r>
    </w:p>
    <w:p>
      <w:pPr>
        <w:pStyle w:val="TextBody"/>
        <w:bidi w:val="0"/>
        <w:spacing w:before="0" w:after="0"/>
        <w:jc w:val="left"/>
        <w:rPr/>
      </w:pPr>
      <w:r>
        <w:rPr/>
      </w:r>
    </w:p>
    <w:p>
      <w:pPr>
        <w:pStyle w:val="TextBody"/>
        <w:bidi w:val="0"/>
        <w:spacing w:lineRule="auto" w:line="240" w:before="47" w:after="283"/>
        <w:jc w:val="center"/>
        <w:rPr/>
      </w:pPr>
      <w:r>
        <w:rPr>
          <w:rFonts w:ascii="Times New Roman;serif" w:hAnsi="Times New Roman;serif"/>
          <w:b/>
          <w:color w:val="000000"/>
          <w:sz w:val="24"/>
        </w:rPr>
        <w:t>Exelixis,</w:t>
      </w:r>
      <w:r>
        <w:rPr>
          <w:color w:val="000000"/>
        </w:rPr>
        <w:t xml:space="preserve"> </w:t>
      </w:r>
      <w:r>
        <w:rPr>
          <w:rFonts w:ascii="Times New Roman;serif" w:hAnsi="Times New Roman;serif"/>
          <w:b/>
          <w:color w:val="000000"/>
          <w:sz w:val="24"/>
        </w:rPr>
        <w:t>Inc.</w:t>
      </w:r>
    </w:p>
    <w:p>
      <w:pPr>
        <w:pStyle w:val="TextBody"/>
        <w:bidi w:val="0"/>
        <w:spacing w:lineRule="auto" w:line="288" w:before="47" w:after="283"/>
        <w:jc w:val="center"/>
        <w:rPr/>
      </w:pPr>
      <w:r>
        <w:rPr>
          <w:rFonts w:ascii="Times New Roman;serif" w:hAnsi="Times New Roman;serif"/>
          <w:b/>
          <w:color w:val="000000"/>
          <w:sz w:val="24"/>
        </w:rPr>
        <w:t>Non-Employee</w:t>
      </w:r>
      <w:r>
        <w:rPr>
          <w:color w:val="000000"/>
        </w:rPr>
        <w:t xml:space="preserve"> </w:t>
      </w:r>
      <w:r>
        <w:rPr>
          <w:rFonts w:ascii="Times New Roman;serif" w:hAnsi="Times New Roman;serif"/>
          <w:b/>
          <w:color w:val="000000"/>
          <w:sz w:val="24"/>
        </w:rPr>
        <w:t>Director</w:t>
      </w:r>
      <w:r>
        <w:rPr>
          <w:color w:val="000000"/>
        </w:rPr>
        <w:t xml:space="preserve"> </w:t>
      </w:r>
      <w:r>
        <w:rPr>
          <w:rFonts w:ascii="Times New Roman;serif" w:hAnsi="Times New Roman;serif"/>
          <w:b/>
          <w:color w:val="000000"/>
          <w:sz w:val="24"/>
        </w:rPr>
        <w:t>Equity</w:t>
      </w:r>
      <w:r>
        <w:rPr>
          <w:color w:val="000000"/>
        </w:rPr>
        <w:t xml:space="preserve"> </w:t>
      </w:r>
      <w:r>
        <w:rPr>
          <w:rFonts w:ascii="Times New Roman;serif" w:hAnsi="Times New Roman;serif"/>
          <w:b/>
          <w:color w:val="000000"/>
          <w:sz w:val="24"/>
        </w:rPr>
        <w:t>Compensation</w:t>
      </w:r>
      <w:r>
        <w:rPr>
          <w:color w:val="000000"/>
        </w:rPr>
        <w:t xml:space="preserve"> </w:t>
      </w:r>
      <w:r>
        <w:rPr>
          <w:rFonts w:ascii="Times New Roman;serif" w:hAnsi="Times New Roman;serif"/>
          <w:b/>
          <w:color w:val="000000"/>
          <w:sz w:val="24"/>
        </w:rPr>
        <w:t>Policy</w:t>
      </w:r>
    </w:p>
    <w:p>
      <w:pPr>
        <w:pStyle w:val="TextBody"/>
        <w:bidi w:val="0"/>
        <w:spacing w:before="36" w:after="283"/>
        <w:jc w:val="center"/>
        <w:rPr/>
      </w:pPr>
      <w:r>
        <w:rPr/>
      </w:r>
    </w:p>
    <w:tbl>
      <w:tblPr>
        <w:tblW w:w="5685" w:type="dxa"/>
        <w:jc w:val="center"/>
        <w:tblInd w:w="0" w:type="dxa"/>
        <w:tblLayout w:type="fixed"/>
        <w:tblCellMar>
          <w:top w:w="28" w:type="dxa"/>
          <w:left w:w="28" w:type="dxa"/>
          <w:bottom w:w="28" w:type="dxa"/>
          <w:right w:w="28" w:type="dxa"/>
        </w:tblCellMar>
      </w:tblPr>
      <w:tblGrid>
        <w:gridCol w:w="1821"/>
        <w:gridCol w:w="1597"/>
        <w:gridCol w:w="2267"/>
      </w:tblGrid>
      <w:tr>
        <w:trPr/>
        <w:tc>
          <w:tcPr>
            <w:tcW w:w="182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Adopted by the Board of Directors: February 23, 2017 </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Amended by the Board of Directors: September 7, 2017 </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Amended by the Board of Directors: February 15, 2018 </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Amended by the Board of Directors: February 28, 2019 </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Amended by the Board of Directors: February 20, 2020</w:t>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Amended by the Board of Directors: June 18, 2026</w:t>
            </w:r>
          </w:p>
        </w:tc>
      </w:tr>
    </w:tbl>
    <w:p>
      <w:pPr>
        <w:pStyle w:val="TextBody"/>
        <w:bidi w:val="0"/>
        <w:spacing w:before="1" w:after="283"/>
        <w:ind w:left="0" w:right="0" w:firstLine="24"/>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Each member of 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Exelixis,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who is not an Employee (as defined in the Exelixis, Inc. 2017 Equity Incentive Plan, as amended from time to time (the “</w:t>
      </w:r>
      <w:r>
        <w:rPr>
          <w:rFonts w:ascii="Times New Roman;serif" w:hAnsi="Times New Roman;serif"/>
          <w:b/>
          <w:i/>
          <w:color w:val="000000"/>
          <w:sz w:val="24"/>
        </w:rPr>
        <w:t>2017 Plan</w:t>
      </w:r>
      <w:r>
        <w:rPr>
          <w:color w:val="000000"/>
        </w:rPr>
        <w:t>”</w:t>
      </w:r>
      <w:r>
        <w:rPr>
          <w:rFonts w:ascii="Times New Roman;serif" w:hAnsi="Times New Roman;serif"/>
          <w:b w:val="false"/>
          <w:color w:val="000000"/>
          <w:sz w:val="24"/>
        </w:rPr>
        <w:t>)) (each, a “</w:t>
      </w:r>
      <w:r>
        <w:rPr>
          <w:rFonts w:ascii="Times New Roman;serif" w:hAnsi="Times New Roman;serif"/>
          <w:b/>
          <w:i/>
          <w:color w:val="000000"/>
          <w:sz w:val="24"/>
        </w:rPr>
        <w:t>Non-Employee Director</w:t>
      </w:r>
      <w:r>
        <w:rPr>
          <w:color w:val="000000"/>
        </w:rPr>
        <w:t>”</w:t>
      </w:r>
      <w:r>
        <w:rPr>
          <w:rFonts w:ascii="Times New Roman;serif" w:hAnsi="Times New Roman;serif"/>
          <w:b w:val="false"/>
          <w:color w:val="000000"/>
          <w:sz w:val="24"/>
        </w:rPr>
        <w:t>) will be eligible to receive equity compensation as</w:t>
      </w:r>
      <w:r>
        <w:rPr>
          <w:color w:val="000000"/>
        </w:rPr>
        <w:t xml:space="preserve"> </w:t>
      </w:r>
      <w:r>
        <w:rPr>
          <w:rFonts w:ascii="Times New Roman;serif" w:hAnsi="Times New Roman;serif"/>
          <w:b w:val="false"/>
          <w:color w:val="000000"/>
          <w:sz w:val="24"/>
        </w:rPr>
        <w:t>set forth in this Exelixis, Inc. Non-Employee Director Equity Compensation Policy (this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The Initial Option Grants, Initial RSU Grants, Annual Option Grants and Annual RSU Grants (each as defined below) described in this Policy will be granted automatically and without further action of the Board to each Non-Employee Director who is eligible to receive such equity compensation, unless such Non-Employee Director declines the receipt of such equity compensation by written notice to the Company; </w:t>
      </w:r>
      <w:r>
        <w:rPr>
          <w:rFonts w:ascii="Times New Roman;serif" w:hAnsi="Times New Roman;serif"/>
          <w:b w:val="false"/>
          <w:i/>
          <w:color w:val="000000"/>
          <w:sz w:val="24"/>
        </w:rPr>
        <w:t>provided, however</w:t>
      </w:r>
      <w:r>
        <w:rPr>
          <w:rFonts w:ascii="Times New Roman;serif" w:hAnsi="Times New Roman;serif"/>
          <w:b w:val="false"/>
          <w:color w:val="000000"/>
          <w:sz w:val="24"/>
        </w:rPr>
        <w:t>, that notwithstanding the</w:t>
      </w:r>
      <w:r>
        <w:rPr>
          <w:color w:val="000000"/>
        </w:rPr>
        <w:t xml:space="preserve"> </w:t>
      </w:r>
      <w:r>
        <w:rPr>
          <w:rFonts w:ascii="Times New Roman;serif" w:hAnsi="Times New Roman;serif"/>
          <w:b w:val="false"/>
          <w:color w:val="000000"/>
          <w:sz w:val="24"/>
        </w:rPr>
        <w:t>foregoing</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anything in this Policy</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contrary, any</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grants scheduled to be</w:t>
      </w:r>
      <w:r>
        <w:rPr>
          <w:color w:val="000000"/>
        </w:rPr>
        <w:t xml:space="preserve"> </w:t>
      </w:r>
      <w:r>
        <w:rPr>
          <w:rFonts w:ascii="Times New Roman;serif" w:hAnsi="Times New Roman;serif"/>
          <w:b w:val="false"/>
          <w:color w:val="000000"/>
          <w:sz w:val="24"/>
        </w:rPr>
        <w:t>granted on a certain date pursuant to this Policy will not be granted automatically if (i) the number of shares available for issuance under the 2017 Plan is insufficient to make all such grants on such date or (ii) making any such grants would exceed any applicable limits in the 2017 Plan.</w:t>
      </w:r>
      <w:r>
        <w:rPr>
          <w:color w:val="000000"/>
        </w:rPr>
        <w:t xml:space="preserve"> </w:t>
      </w:r>
      <w:r>
        <w:rPr>
          <w:rFonts w:ascii="Times New Roman;serif" w:hAnsi="Times New Roman;serif"/>
          <w:b w:val="false"/>
          <w:color w:val="000000"/>
          <w:sz w:val="24"/>
        </w:rPr>
        <w:t>This Policy became effective on the date of the annual meeting of the Company’s stockholders held in 2017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and will remain in effect until it is revised or rescinded by further action of the Board.</w:t>
      </w:r>
      <w:r>
        <w:rPr>
          <w:color w:val="000000"/>
        </w:rPr>
        <w:t xml:space="preserve"> </w:t>
      </w:r>
      <w:r>
        <w:rPr>
          <w:rFonts w:ascii="Times New Roman;serif" w:hAnsi="Times New Roman;serif"/>
          <w:b w:val="false"/>
          <w:color w:val="000000"/>
          <w:sz w:val="24"/>
        </w:rPr>
        <w:t>Capitalized terms not explicitly defined in this Policy but defined in the 2017 Plan will have the same definitions as in the 2017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grants described in this Policy</w:t>
      </w:r>
      <w:r>
        <w:rPr>
          <w:color w:val="000000"/>
        </w:rPr>
        <w:t xml:space="preserve"> </w:t>
      </w:r>
      <w:r>
        <w:rPr>
          <w:rFonts w:ascii="Times New Roman;serif" w:hAnsi="Times New Roman;serif"/>
          <w:b w:val="false"/>
          <w:color w:val="000000"/>
          <w:sz w:val="24"/>
        </w:rPr>
        <w:t>will be granted 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2017 Plan and will be subject to the terms and conditions of (i) the 2017 Plan, (ii) the forms of grant notices and agreements approved by the Board for the grant of equity to Non-Employee Directors and (iii) this Policy.</w:t>
      </w:r>
    </w:p>
    <w:p>
      <w:pPr>
        <w:pStyle w:val="TextBody"/>
        <w:bidi w:val="0"/>
        <w:spacing w:lineRule="auto" w:line="288" w:before="240" w:after="283"/>
        <w:ind w:left="0" w:right="0" w:firstLine="720"/>
        <w:jc w:val="both"/>
        <w:rPr/>
      </w:pPr>
      <w:r>
        <w:rPr>
          <w:rFonts w:ascii="Times New Roman;serif" w:hAnsi="Times New Roman;serif"/>
          <w:b/>
          <w:color w:val="000000"/>
          <w:sz w:val="24"/>
        </w:rPr>
        <w:t>(a)Initial Grants.</w:t>
      </w:r>
      <w:r>
        <w:rPr>
          <w:color w:val="000000"/>
        </w:rPr>
        <w:t xml:space="preserve"> </w:t>
      </w:r>
      <w:r>
        <w:rPr>
          <w:rFonts w:ascii="Times New Roman;serif" w:hAnsi="Times New Roman;serif"/>
          <w:b w:val="false"/>
          <w:color w:val="000000"/>
          <w:sz w:val="24"/>
        </w:rPr>
        <w:t>Each person who is elected or appointed for the first time to be a Non-Employee Director automatically will be granted, upon the date of his or her initial election or appointment to be a Non-Employee Director, equity grants with a combined total dollar value of $600,000, which will be divided between approximately 50% in the form of a nonstatutory stock option (an “</w:t>
      </w:r>
      <w:r>
        <w:rPr>
          <w:rFonts w:ascii="Times New Roman;serif" w:hAnsi="Times New Roman;serif"/>
          <w:b/>
          <w:i/>
          <w:color w:val="000000"/>
          <w:sz w:val="24"/>
        </w:rPr>
        <w:t>Initial</w:t>
      </w:r>
      <w:r>
        <w:rPr>
          <w:color w:val="000000"/>
        </w:rPr>
        <w:t xml:space="preserve"> </w:t>
      </w:r>
      <w:r>
        <w:rPr>
          <w:rFonts w:ascii="Times New Roman;serif" w:hAnsi="Times New Roman;serif"/>
          <w:b/>
          <w:i/>
          <w:color w:val="000000"/>
          <w:sz w:val="24"/>
        </w:rPr>
        <w:t>Option Grant</w:t>
      </w:r>
      <w:r>
        <w:rPr>
          <w:color w:val="000000"/>
        </w:rPr>
        <w:t>”</w:t>
      </w:r>
      <w:r>
        <w:rPr>
          <w:rFonts w:ascii="Times New Roman;serif" w:hAnsi="Times New Roman;serif"/>
          <w:b w:val="false"/>
          <w:color w:val="000000"/>
          <w:sz w:val="24"/>
        </w:rPr>
        <w:t>) and approximately</w:t>
      </w:r>
      <w:r>
        <w:rPr>
          <w:color w:val="000000"/>
        </w:rPr>
        <w:t xml:space="preserve"> </w:t>
      </w:r>
      <w:r>
        <w:rPr>
          <w:rFonts w:ascii="Times New Roman;serif" w:hAnsi="Times New Roman;serif"/>
          <w:b w:val="false"/>
          <w:color w:val="000000"/>
          <w:sz w:val="24"/>
        </w:rPr>
        <w:t>50% in the form of a restricted stock unit</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i/>
          <w:color w:val="000000"/>
          <w:sz w:val="24"/>
        </w:rPr>
        <w:t>Initial</w:t>
      </w:r>
      <w:r>
        <w:rPr>
          <w:color w:val="000000"/>
        </w:rPr>
        <w:t xml:space="preserve"> </w:t>
      </w:r>
      <w:r>
        <w:rPr>
          <w:rFonts w:ascii="Times New Roman;serif" w:hAnsi="Times New Roman;serif"/>
          <w:b/>
          <w:i/>
          <w:color w:val="000000"/>
          <w:sz w:val="24"/>
        </w:rPr>
        <w:t>RSU</w:t>
      </w:r>
      <w:r>
        <w:rPr>
          <w:color w:val="000000"/>
        </w:rPr>
        <w:t xml:space="preserve"> </w:t>
      </w:r>
      <w:r>
        <w:rPr>
          <w:rFonts w:ascii="Times New Roman;serif" w:hAnsi="Times New Roman;serif"/>
          <w:b/>
          <w:i/>
          <w:color w:val="000000"/>
          <w:sz w:val="24"/>
        </w:rPr>
        <w:t>Grant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based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valuation</w:t>
      </w:r>
      <w:r>
        <w:rPr>
          <w:color w:val="000000"/>
        </w:rPr>
        <w:t xml:space="preserve"> </w:t>
      </w:r>
      <w:r>
        <w:rPr>
          <w:rFonts w:ascii="Times New Roman;serif" w:hAnsi="Times New Roman;serif"/>
          <w:b w:val="false"/>
          <w:color w:val="000000"/>
          <w:sz w:val="24"/>
        </w:rPr>
        <w:t>methodology</w:t>
      </w:r>
      <w:r>
        <w:rPr>
          <w:color w:val="000000"/>
        </w:rPr>
        <w:t xml:space="preserve"> </w:t>
      </w:r>
      <w:r>
        <w:rPr>
          <w:rFonts w:ascii="Times New Roman;serif" w:hAnsi="Times New Roman;serif"/>
          <w:b w:val="false"/>
          <w:color w:val="000000"/>
          <w:sz w:val="24"/>
        </w:rPr>
        <w:t>established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 Board.</w:t>
      </w:r>
      <w:r>
        <w:rPr>
          <w:color w:val="000000"/>
        </w:rPr>
        <w:t xml:space="preserve"> </w:t>
      </w:r>
      <w:r>
        <w:rPr>
          <w:rFonts w:ascii="Times New Roman;serif" w:hAnsi="Times New Roman;serif"/>
          <w:b w:val="false"/>
          <w:color w:val="000000"/>
          <w:sz w:val="24"/>
        </w:rPr>
        <w:t>The number of shares of Common Stock subject to each Initial Option Grant and Initial RSU Grant will be based on such methodology and the average of the daily closing sales prices of the Common Stock for all of the trading days during the 30 calendar day period ending on</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(and including) the last calendar day immediately prior to the grant date of such Initial Option Grant and Initial RSU Grant.</w:t>
      </w:r>
    </w:p>
    <w:p>
      <w:pPr>
        <w:pStyle w:val="TextBody"/>
        <w:bidi w:val="0"/>
        <w:spacing w:lineRule="auto" w:line="288" w:before="240" w:after="283"/>
        <w:ind w:left="0" w:right="0" w:firstLine="720"/>
        <w:jc w:val="both"/>
        <w:rPr/>
      </w:pPr>
      <w:r>
        <w:rPr>
          <w:rFonts w:ascii="Times New Roman;serif" w:hAnsi="Times New Roman;serif"/>
          <w:b/>
          <w:color w:val="000000"/>
          <w:sz w:val="24"/>
        </w:rPr>
        <w:t>(b)Annual Grants.</w:t>
      </w:r>
      <w:r>
        <w:rPr>
          <w:color w:val="000000"/>
        </w:rPr>
        <w:t xml:space="preserve"> </w:t>
      </w:r>
      <w:r>
        <w:rPr>
          <w:rFonts w:ascii="Times New Roman;serif" w:hAnsi="Times New Roman;serif"/>
          <w:b w:val="false"/>
          <w:color w:val="000000"/>
          <w:sz w:val="24"/>
        </w:rPr>
        <w:t>On the day following each annual meeting of the Company’s stockholders, each person who is then a Non-Employee Director automatically will be granted equity grants with a combined total dollar value of $400,000, which will be divided between approximately 50% in the form of a nonstatutory stock option (an “</w:t>
      </w:r>
      <w:r>
        <w:rPr>
          <w:rFonts w:ascii="Times New Roman;serif" w:hAnsi="Times New Roman;serif"/>
          <w:b/>
          <w:i/>
          <w:color w:val="000000"/>
          <w:sz w:val="24"/>
        </w:rPr>
        <w:t>Annual Option Grant</w:t>
      </w:r>
      <w:r>
        <w:rPr>
          <w:color w:val="000000"/>
        </w:rPr>
        <w:t>”</w:t>
      </w:r>
      <w:r>
        <w:rPr>
          <w:rFonts w:ascii="Times New Roman;serif" w:hAnsi="Times New Roman;serif"/>
          <w:b w:val="false"/>
          <w:color w:val="000000"/>
          <w:sz w:val="24"/>
        </w:rPr>
        <w:t>) and approximately</w:t>
      </w:r>
      <w:r>
        <w:rPr>
          <w:color w:val="000000"/>
        </w:rPr>
        <w:t xml:space="preserve"> </w:t>
      </w:r>
      <w:r>
        <w:rPr>
          <w:rFonts w:ascii="Times New Roman;serif" w:hAnsi="Times New Roman;serif"/>
          <w:b w:val="false"/>
          <w:color w:val="000000"/>
          <w:sz w:val="24"/>
        </w:rPr>
        <w:t>50%</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form 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restricted stock</w:t>
      </w:r>
      <w:r>
        <w:rPr>
          <w:color w:val="000000"/>
        </w:rPr>
        <w:t xml:space="preserve"> </w:t>
      </w:r>
      <w:r>
        <w:rPr>
          <w:rFonts w:ascii="Times New Roman;serif" w:hAnsi="Times New Roman;serif"/>
          <w:b w:val="false"/>
          <w:color w:val="000000"/>
          <w:sz w:val="24"/>
        </w:rPr>
        <w:t>unit</w:t>
      </w:r>
      <w:r>
        <w:rPr>
          <w:color w:val="000000"/>
        </w:rPr>
        <w:t xml:space="preserve"> </w:t>
      </w:r>
      <w:r>
        <w:rPr>
          <w:rFonts w:ascii="Times New Roman;serif" w:hAnsi="Times New Roman;serif"/>
          <w:b w:val="false"/>
          <w:color w:val="000000"/>
          <w:sz w:val="24"/>
        </w:rPr>
        <w:t>award (an “</w:t>
      </w:r>
      <w:r>
        <w:rPr>
          <w:rFonts w:ascii="Times New Roman;serif" w:hAnsi="Times New Roman;serif"/>
          <w:b/>
          <w:i/>
          <w:color w:val="000000"/>
          <w:sz w:val="24"/>
        </w:rPr>
        <w:t>Annual</w:t>
      </w:r>
      <w:r>
        <w:rPr>
          <w:color w:val="000000"/>
        </w:rPr>
        <w:t xml:space="preserve"> </w:t>
      </w:r>
      <w:r>
        <w:rPr>
          <w:rFonts w:ascii="Times New Roman;serif" w:hAnsi="Times New Roman;serif"/>
          <w:b/>
          <w:i/>
          <w:color w:val="000000"/>
          <w:sz w:val="24"/>
        </w:rPr>
        <w:t>RSU</w:t>
      </w:r>
      <w:r>
        <w:rPr>
          <w:color w:val="000000"/>
        </w:rPr>
        <w:t xml:space="preserve"> </w:t>
      </w:r>
      <w:r>
        <w:rPr>
          <w:rFonts w:ascii="Times New Roman;serif" w:hAnsi="Times New Roman;serif"/>
          <w:b/>
          <w:i/>
          <w:color w:val="000000"/>
          <w:sz w:val="24"/>
        </w:rPr>
        <w:t>Grant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based on the valuation methodology established by the Board; </w:t>
      </w:r>
      <w:r>
        <w:rPr>
          <w:rFonts w:ascii="Times New Roman;serif" w:hAnsi="Times New Roman;serif"/>
          <w:b w:val="false"/>
          <w:i/>
          <w:color w:val="000000"/>
          <w:sz w:val="24"/>
        </w:rPr>
        <w:t>provided, however</w:t>
      </w:r>
      <w:r>
        <w:rPr>
          <w:rFonts w:ascii="Times New Roman;serif" w:hAnsi="Times New Roman;serif"/>
          <w:b w:val="false"/>
          <w:color w:val="000000"/>
          <w:sz w:val="24"/>
        </w:rPr>
        <w:t>, that each Non-Employee Director may instead elect to receive 100% of such equity grants in the form of (i) a nonstatutory stock option (in which case, the term “Annual Option Grant” will refer to such nonstatutory stock option) or (ii) a restricted stock unit award (in which case, the term “Annual RSU</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will refer</w:t>
      </w:r>
      <w:r>
        <w:rPr>
          <w:color w:val="000000"/>
        </w:rPr>
        <w:t xml:space="preserve"> </w:t>
      </w:r>
      <w:r>
        <w:rPr>
          <w:rFonts w:ascii="Times New Roman;serif" w:hAnsi="Times New Roman;serif"/>
          <w:b w:val="false"/>
          <w:color w:val="000000"/>
          <w:sz w:val="24"/>
        </w:rPr>
        <w:t>to such restricted stock unit award).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 election must 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 Non-Employee Director by the date required by the Company and will remain in effect until revoked by such Non-Employee Director, provided that any such revocation is made by the date required by the Company.</w:t>
      </w:r>
      <w:r>
        <w:rPr>
          <w:color w:val="000000"/>
        </w:rPr>
        <w:t xml:space="preserve"> </w:t>
      </w:r>
      <w:r>
        <w:rPr>
          <w:rFonts w:ascii="Times New Roman;serif" w:hAnsi="Times New Roman;serif"/>
          <w:b w:val="false"/>
          <w:color w:val="000000"/>
          <w:sz w:val="24"/>
        </w:rPr>
        <w:t>The number of shares of Common Stock subject to each Annual Option Grant (if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and Annual RSU</w:t>
      </w:r>
      <w:r>
        <w:rPr>
          <w:color w:val="000000"/>
        </w:rPr>
        <w:t xml:space="preserve"> </w:t>
      </w:r>
      <w:r>
        <w:rPr>
          <w:rFonts w:ascii="Times New Roman;serif" w:hAnsi="Times New Roman;serif"/>
          <w:b w:val="false"/>
          <w:color w:val="000000"/>
          <w:sz w:val="24"/>
        </w:rPr>
        <w:t>Grant (if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will be</w:t>
      </w:r>
      <w:r>
        <w:rPr>
          <w:color w:val="000000"/>
        </w:rPr>
        <w:t xml:space="preserve"> </w:t>
      </w:r>
      <w:r>
        <w:rPr>
          <w:rFonts w:ascii="Times New Roman;serif" w:hAnsi="Times New Roman;serif"/>
          <w:b w:val="false"/>
          <w:color w:val="000000"/>
          <w:sz w:val="24"/>
        </w:rPr>
        <w:t>based on such methodology</w:t>
      </w:r>
      <w:r>
        <w:rPr>
          <w:color w:val="000000"/>
        </w:rPr>
        <w:t xml:space="preserve"> </w:t>
      </w:r>
      <w:r>
        <w:rPr>
          <w:rFonts w:ascii="Times New Roman;serif" w:hAnsi="Times New Roman;serif"/>
          <w:b w:val="false"/>
          <w:color w:val="000000"/>
          <w:sz w:val="24"/>
        </w:rPr>
        <w:t>and the average of the daily closing sales prices of the Common Stock for all of the trading days during the 30 calendar day period ending on (and including) the last calendar day immediately prior to the grant date of such Annual Option Grant (if any) and Annual RSU Grant (if any).</w:t>
      </w:r>
    </w:p>
    <w:p>
      <w:pPr>
        <w:pStyle w:val="TextBody"/>
        <w:bidi w:val="0"/>
        <w:spacing w:lineRule="auto" w:line="288" w:before="240" w:after="283"/>
        <w:ind w:left="0" w:right="0" w:hanging="720"/>
        <w:jc w:val="left"/>
        <w:rPr/>
      </w:pPr>
      <w:r>
        <w:rPr>
          <w:rFonts w:ascii="Times New Roman;serif" w:hAnsi="Times New Roman;serif"/>
          <w:b/>
          <w:color w:val="000000"/>
          <w:sz w:val="24"/>
        </w:rPr>
        <w:t>(c)Terms</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Options.</w:t>
      </w:r>
    </w:p>
    <w:p>
      <w:pPr>
        <w:pStyle w:val="TextBody"/>
        <w:bidi w:val="0"/>
        <w:spacing w:lineRule="auto" w:line="288" w:before="240" w:after="283"/>
        <w:ind w:left="0" w:right="0" w:firstLine="1440"/>
        <w:jc w:val="both"/>
        <w:rPr/>
      </w:pPr>
      <w:r>
        <w:rPr>
          <w:rFonts w:ascii="Times New Roman;serif" w:hAnsi="Times New Roman;serif"/>
          <w:b/>
          <w:color w:val="000000"/>
          <w:sz w:val="24"/>
        </w:rPr>
        <w:t>(i)</w:t>
      </w:r>
      <w:r>
        <w:rPr>
          <w:rFonts w:ascii="Times New Roman;serif" w:hAnsi="Times New Roman;serif"/>
          <w:b w:val="false"/>
          <w:color w:val="000000"/>
          <w:sz w:val="24"/>
          <w:u w:val="single"/>
        </w:rPr>
        <w:t>Exercise Price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exercise price of each Initial Option Grant and</w:t>
      </w:r>
      <w:r>
        <w:rPr>
          <w:color w:val="000000"/>
        </w:rPr>
        <w:t xml:space="preserve"> </w:t>
      </w:r>
      <w:r>
        <w:rPr>
          <w:rFonts w:ascii="Times New Roman;serif" w:hAnsi="Times New Roman;serif"/>
          <w:b w:val="false"/>
          <w:color w:val="000000"/>
          <w:sz w:val="24"/>
        </w:rPr>
        <w:t>Annual Option Grant will be equal to 100% of the Fair Market Value of the Common Stock subject to such option on the date such option is granted.</w:t>
      </w:r>
    </w:p>
    <w:p>
      <w:pPr>
        <w:pStyle w:val="TextBody"/>
        <w:bidi w:val="0"/>
        <w:spacing w:lineRule="auto" w:line="288" w:before="240" w:after="283"/>
        <w:ind w:left="0" w:right="0" w:firstLine="1440"/>
        <w:jc w:val="both"/>
        <w:rPr/>
      </w:pPr>
      <w:r>
        <w:rPr>
          <w:rFonts w:ascii="Times New Roman;serif" w:hAnsi="Times New Roman;serif"/>
          <w:b/>
          <w:color w:val="000000"/>
          <w:sz w:val="24"/>
        </w:rPr>
        <w:t>(ii)</w:t>
      </w:r>
      <w:r>
        <w:rPr>
          <w:rFonts w:ascii="Times New Roman;serif" w:hAnsi="Times New Roman;serif"/>
          <w:b w:val="false"/>
          <w:color w:val="000000"/>
          <w:sz w:val="24"/>
          <w:u w:val="single"/>
        </w:rPr>
        <w:t>Exercisability and Vesting</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Subject to Sections (e)(i) and (f)(i) below,</w:t>
      </w:r>
      <w:r>
        <w:rPr>
          <w:color w:val="000000"/>
        </w:rPr>
        <w:t xml:space="preserve"> </w:t>
      </w:r>
      <w:r>
        <w:rPr>
          <w:rFonts w:ascii="Times New Roman;serif" w:hAnsi="Times New Roman;serif"/>
          <w:b w:val="false"/>
          <w:color w:val="000000"/>
          <w:sz w:val="24"/>
        </w:rPr>
        <w:t>each Initial Option Grant and Annual Option Grant will be fully exercisable upon grant and will vest as follows:</w:t>
      </w:r>
    </w:p>
    <w:p>
      <w:pPr>
        <w:pStyle w:val="TextBody"/>
        <w:bidi w:val="0"/>
        <w:spacing w:lineRule="auto" w:line="288" w:before="241" w:after="283"/>
        <w:ind w:left="0" w:right="0" w:firstLine="2160"/>
        <w:jc w:val="both"/>
        <w:rPr/>
      </w:pPr>
      <w:r>
        <w:rPr>
          <w:rFonts w:ascii="Times New Roman;serif" w:hAnsi="Times New Roman;serif"/>
          <w:b/>
          <w:color w:val="000000"/>
          <w:sz w:val="24"/>
        </w:rPr>
        <w:t>(A)</w:t>
      </w:r>
      <w:r>
        <w:rPr>
          <w:rFonts w:ascii="Times New Roman;serif" w:hAnsi="Times New Roman;serif"/>
          <w:b w:val="false"/>
          <w:color w:val="000000"/>
          <w:sz w:val="24"/>
        </w:rPr>
        <w:t>Each Initial Option Grant will provide for vesting of 1/3rd of the shares subject to such option on the first anniversary</w:t>
      </w:r>
      <w:r>
        <w:rPr>
          <w:color w:val="000000"/>
        </w:rPr>
        <w:t xml:space="preserve"> </w:t>
      </w:r>
      <w:r>
        <w:rPr>
          <w:rFonts w:ascii="Times New Roman;serif" w:hAnsi="Times New Roman;serif"/>
          <w:b w:val="false"/>
          <w:color w:val="000000"/>
          <w:sz w:val="24"/>
        </w:rPr>
        <w:t>of the date of grant and 1/36th of the shares subject to such option each month thereafter (such that 100% of the shares subject to such option will vest on the third anniversary of the date of grant), subject to the Non-Employee Director’s</w:t>
      </w:r>
      <w:r>
        <w:rPr>
          <w:color w:val="000000"/>
        </w:rPr>
        <w:t xml:space="preserve"> </w:t>
      </w:r>
      <w:r>
        <w:rPr>
          <w:rFonts w:ascii="Times New Roman;serif" w:hAnsi="Times New Roman;serif"/>
          <w:b w:val="false"/>
          <w:color w:val="000000"/>
          <w:sz w:val="24"/>
        </w:rPr>
        <w:t>Continuous Service through such dates.</w:t>
      </w:r>
    </w:p>
    <w:p>
      <w:pPr>
        <w:pStyle w:val="TextBody"/>
        <w:bidi w:val="0"/>
        <w:spacing w:lineRule="auto" w:line="288" w:before="240" w:after="283"/>
        <w:ind w:left="0" w:right="0" w:firstLine="2160"/>
        <w:jc w:val="both"/>
        <w:rPr/>
      </w:pPr>
      <w:r>
        <w:rPr>
          <w:rFonts w:ascii="Times New Roman;serif" w:hAnsi="Times New Roman;serif"/>
          <w:b/>
          <w:color w:val="000000"/>
          <w:sz w:val="24"/>
        </w:rPr>
        <w:t>(B)</w:t>
      </w:r>
      <w:r>
        <w:rPr>
          <w:rFonts w:ascii="Times New Roman;serif" w:hAnsi="Times New Roman;serif"/>
          <w:b w:val="false"/>
          <w:color w:val="000000"/>
          <w:sz w:val="24"/>
        </w:rPr>
        <w:t>Each Annual Option Grant will provide for vesting of 100% of the shares subject to such option on the first anniversary of the date of grant, subject to the Non-Employee Director’s Continuous Service through such date.</w:t>
      </w:r>
    </w:p>
    <w:p>
      <w:pPr>
        <w:pStyle w:val="TextBody"/>
        <w:bidi w:val="0"/>
        <w:spacing w:lineRule="auto" w:line="288" w:before="240" w:after="283"/>
        <w:ind w:left="0" w:right="0" w:hanging="719"/>
        <w:jc w:val="left"/>
        <w:rPr/>
      </w:pPr>
      <w:r>
        <w:rPr>
          <w:rFonts w:ascii="Times New Roman;serif" w:hAnsi="Times New Roman;serif"/>
          <w:b/>
          <w:color w:val="000000"/>
          <w:sz w:val="24"/>
        </w:rPr>
        <w:t>(d)Terms</w:t>
      </w:r>
      <w:r>
        <w:rPr>
          <w:color w:val="000000"/>
        </w:rPr>
        <w:t xml:space="preserve"> </w:t>
      </w:r>
      <w:r>
        <w:rPr>
          <w:rFonts w:ascii="Times New Roman;serif" w:hAnsi="Times New Roman;serif"/>
          <w:b/>
          <w:color w:val="000000"/>
          <w:sz w:val="24"/>
        </w:rPr>
        <w:t>of</w:t>
      </w:r>
      <w:r>
        <w:rPr>
          <w:color w:val="000000"/>
        </w:rPr>
        <w:t xml:space="preserve"> </w:t>
      </w:r>
      <w:r>
        <w:rPr>
          <w:rFonts w:ascii="Times New Roman;serif" w:hAnsi="Times New Roman;serif"/>
          <w:b/>
          <w:color w:val="000000"/>
          <w:sz w:val="24"/>
        </w:rPr>
        <w:t>RSUs.</w:t>
      </w:r>
    </w:p>
    <w:p>
      <w:pPr>
        <w:pStyle w:val="TextBody"/>
        <w:bidi w:val="0"/>
        <w:spacing w:lineRule="auto" w:line="288" w:before="240" w:after="283"/>
        <w:ind w:left="0" w:right="0" w:firstLine="1440"/>
        <w:jc w:val="left"/>
        <w:rPr/>
      </w:pPr>
      <w:r>
        <w:rPr>
          <w:rFonts w:ascii="Times New Roman;serif" w:hAnsi="Times New Roman;serif"/>
          <w:b/>
          <w:color w:val="000000"/>
          <w:sz w:val="24"/>
        </w:rPr>
        <w:t>(i)</w:t>
      </w:r>
      <w:r>
        <w:rPr>
          <w:rFonts w:ascii="Times New Roman;serif" w:hAnsi="Times New Roman;serif"/>
          <w:b w:val="false"/>
          <w:color w:val="000000"/>
          <w:sz w:val="24"/>
          <w:u w:val="single"/>
        </w:rPr>
        <w:t>Vesting</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Sections</w:t>
      </w:r>
      <w:r>
        <w:rPr>
          <w:color w:val="000000"/>
        </w:rPr>
        <w:t xml:space="preserve"> </w:t>
      </w:r>
      <w:r>
        <w:rPr>
          <w:rFonts w:ascii="Times New Roman;serif" w:hAnsi="Times New Roman;serif"/>
          <w:b w:val="false"/>
          <w:color w:val="000000"/>
          <w:sz w:val="24"/>
        </w:rPr>
        <w:t>(e)(i)</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(f)(i)</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Initial</w:t>
      </w:r>
      <w:r>
        <w:rPr>
          <w:color w:val="000000"/>
        </w:rPr>
        <w:t xml:space="preserve"> </w:t>
      </w:r>
      <w:r>
        <w:rPr>
          <w:rFonts w:ascii="Times New Roman;serif" w:hAnsi="Times New Roman;serif"/>
          <w:b w:val="false"/>
          <w:color w:val="000000"/>
          <w:sz w:val="24"/>
        </w:rPr>
        <w:t>RSU Grant and Annual RSU Grant will vest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2160"/>
        <w:jc w:val="both"/>
        <w:rPr/>
      </w:pPr>
      <w:r>
        <w:rPr>
          <w:rFonts w:ascii="Times New Roman;serif" w:hAnsi="Times New Roman;serif"/>
          <w:b/>
          <w:color w:val="000000"/>
          <w:sz w:val="24"/>
        </w:rPr>
        <w:t>(A)</w:t>
      </w:r>
      <w:r>
        <w:rPr>
          <w:rFonts w:ascii="Times New Roman;serif" w:hAnsi="Times New Roman;serif"/>
          <w:b w:val="false"/>
          <w:color w:val="000000"/>
          <w:sz w:val="24"/>
        </w:rPr>
        <w:t>Each Initial RSU Grant will provide for vesting of 1/3rd of the shares subject to such award on each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first three</w:t>
      </w:r>
      <w:r>
        <w:rPr>
          <w:color w:val="000000"/>
        </w:rPr>
        <w:t xml:space="preserve"> </w:t>
      </w:r>
      <w:r>
        <w:rPr>
          <w:rFonts w:ascii="Times New Roman;serif" w:hAnsi="Times New Roman;serif"/>
          <w:b w:val="false"/>
          <w:color w:val="000000"/>
          <w:sz w:val="24"/>
        </w:rPr>
        <w:t>anniversaries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 grant, subject to the Non-Employee Director’s Continuous Service through such dates.</w:t>
      </w:r>
    </w:p>
    <w:p>
      <w:pPr>
        <w:pStyle w:val="TextBody"/>
        <w:bidi w:val="0"/>
        <w:spacing w:lineRule="auto" w:line="288" w:before="240" w:after="283"/>
        <w:ind w:left="0" w:right="0" w:firstLine="2160"/>
        <w:jc w:val="both"/>
        <w:rPr/>
      </w:pPr>
      <w:r>
        <w:rPr>
          <w:rFonts w:ascii="Times New Roman;serif" w:hAnsi="Times New Roman;serif"/>
          <w:b/>
          <w:color w:val="000000"/>
          <w:sz w:val="24"/>
        </w:rPr>
        <w:t>(B)</w:t>
      </w:r>
      <w:r>
        <w:rPr>
          <w:rFonts w:ascii="Times New Roman;serif" w:hAnsi="Times New Roman;serif"/>
          <w:b w:val="false"/>
          <w:color w:val="000000"/>
          <w:sz w:val="24"/>
        </w:rPr>
        <w:t>Each Annual RSU Grant will provide for vesting of 100% of the shares subject to such award on the first anniversary of the date of grant, subject to the Non-Employee Director’s Continuous Service through such date.</w:t>
      </w:r>
    </w:p>
    <w:p>
      <w:pPr>
        <w:pStyle w:val="TextBody"/>
        <w:bidi w:val="0"/>
        <w:spacing w:lineRule="auto" w:line="288" w:before="240" w:after="283"/>
        <w:ind w:left="0" w:right="0" w:firstLine="1440"/>
        <w:jc w:val="both"/>
        <w:rPr/>
      </w:pPr>
      <w:r>
        <w:rPr>
          <w:rFonts w:ascii="Times New Roman;serif" w:hAnsi="Times New Roman;serif"/>
          <w:b/>
          <w:color w:val="000000"/>
          <w:sz w:val="24"/>
        </w:rPr>
        <w:t>(ii)</w:t>
      </w:r>
      <w:r>
        <w:rPr>
          <w:rFonts w:ascii="Times New Roman;serif" w:hAnsi="Times New Roman;serif"/>
          <w:b w:val="false"/>
          <w:color w:val="000000"/>
          <w:sz w:val="24"/>
          <w:u w:val="single"/>
        </w:rPr>
        <w:t>Delivery of Shares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shares subject to each Initial RSU Grant and Annual</w:t>
      </w:r>
      <w:r>
        <w:rPr>
          <w:color w:val="000000"/>
        </w:rPr>
        <w:t xml:space="preserve"> </w:t>
      </w:r>
      <w:r>
        <w:rPr>
          <w:rFonts w:ascii="Times New Roman;serif" w:hAnsi="Times New Roman;serif"/>
          <w:b w:val="false"/>
          <w:color w:val="000000"/>
          <w:sz w:val="24"/>
        </w:rPr>
        <w:t>RSU</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delivered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vesting</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soon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administratively practicable thereafter.</w:t>
      </w:r>
    </w:p>
    <w:p>
      <w:pPr>
        <w:pStyle w:val="TextBody"/>
        <w:bidi w:val="0"/>
        <w:spacing w:lineRule="auto" w:line="288" w:before="240" w:after="283"/>
        <w:ind w:left="0" w:right="0" w:hanging="719"/>
        <w:jc w:val="left"/>
        <w:rPr/>
      </w:pPr>
      <w:r>
        <w:rPr>
          <w:rFonts w:ascii="Times New Roman;serif" w:hAnsi="Times New Roman;serif"/>
          <w:b/>
          <w:color w:val="000000"/>
          <w:sz w:val="24"/>
        </w:rPr>
        <w:t>(e)Corporate</w:t>
      </w:r>
      <w:r>
        <w:rPr>
          <w:color w:val="000000"/>
        </w:rPr>
        <w:t xml:space="preserve"> </w:t>
      </w:r>
      <w:r>
        <w:rPr>
          <w:rFonts w:ascii="Times New Roman;serif" w:hAnsi="Times New Roman;serif"/>
          <w:b/>
          <w:color w:val="000000"/>
          <w:sz w:val="24"/>
        </w:rPr>
        <w:t>Transaction.</w:t>
      </w:r>
    </w:p>
    <w:p>
      <w:pPr>
        <w:pStyle w:val="TextBody"/>
        <w:bidi w:val="0"/>
        <w:spacing w:lineRule="auto" w:line="288" w:before="240" w:after="283"/>
        <w:ind w:left="0" w:right="0" w:firstLine="1440"/>
        <w:jc w:val="both"/>
        <w:rPr/>
      </w:pPr>
      <w:r>
        <w:rPr>
          <w:rFonts w:ascii="Times New Roman;serif" w:hAnsi="Times New Roman;serif"/>
          <w:b/>
          <w:color w:val="000000"/>
          <w:sz w:val="24"/>
        </w:rPr>
        <w:t>(i)</w:t>
      </w:r>
      <w:r>
        <w:rPr>
          <w:rFonts w:ascii="Times New Roman;serif" w:hAnsi="Times New Roman;serif"/>
          <w:b w:val="false"/>
          <w:color w:val="000000"/>
          <w:sz w:val="24"/>
          <w:u w:val="single"/>
        </w:rPr>
        <w:t>Awards Granted under the 2017 Plan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Section 9(c) of the 2017 Plan will apply to each Initial Option Grant, Initial RSU Grant, Annual Option Grant, Annual RSU Grant and any</w:t>
      </w:r>
      <w:r>
        <w:rPr>
          <w:color w:val="000000"/>
        </w:rPr>
        <w:t xml:space="preserve"> </w:t>
      </w:r>
      <w:r>
        <w:rPr>
          <w:rFonts w:ascii="Times New Roman;serif" w:hAnsi="Times New Roman;serif"/>
          <w:b w:val="false"/>
          <w:color w:val="000000"/>
          <w:sz w:val="24"/>
        </w:rPr>
        <w:t>other equity</w:t>
      </w:r>
      <w:r>
        <w:rPr>
          <w:color w:val="000000"/>
        </w:rPr>
        <w:t xml:space="preserve"> </w:t>
      </w:r>
      <w:r>
        <w:rPr>
          <w:rFonts w:ascii="Times New Roman;serif" w:hAnsi="Times New Roman;serif"/>
          <w:b w:val="false"/>
          <w:color w:val="000000"/>
          <w:sz w:val="24"/>
        </w:rPr>
        <w:t>award granted to a Non-Employee Director under the 2017 Plan (an “</w:t>
      </w:r>
      <w:r>
        <w:rPr>
          <w:rFonts w:ascii="Times New Roman;serif" w:hAnsi="Times New Roman;serif"/>
          <w:b/>
          <w:i/>
          <w:color w:val="000000"/>
          <w:sz w:val="24"/>
        </w:rPr>
        <w:t>Other Equity Grant</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19"/>
        <w:jc w:val="left"/>
        <w:rPr/>
      </w:pPr>
      <w:r>
        <w:rPr>
          <w:rFonts w:ascii="Times New Roman;serif" w:hAnsi="Times New Roman;serif"/>
          <w:b/>
          <w:color w:val="000000"/>
          <w:sz w:val="24"/>
        </w:rPr>
        <w:t>(f)Change</w:t>
      </w:r>
      <w:r>
        <w:rPr>
          <w:color w:val="000000"/>
        </w:rPr>
        <w:t xml:space="preserve"> </w:t>
      </w:r>
      <w:r>
        <w:rPr>
          <w:rFonts w:ascii="Times New Roman;serif" w:hAnsi="Times New Roman;serif"/>
          <w:b/>
          <w:color w:val="000000"/>
          <w:sz w:val="24"/>
        </w:rPr>
        <w:t>in Control.</w:t>
      </w:r>
    </w:p>
    <w:p>
      <w:pPr>
        <w:pStyle w:val="TextBody"/>
        <w:bidi w:val="0"/>
        <w:spacing w:lineRule="auto" w:line="288" w:before="240" w:after="283"/>
        <w:ind w:left="0" w:right="0" w:firstLine="1440"/>
        <w:jc w:val="both"/>
        <w:rPr/>
      </w:pPr>
      <w:r>
        <w:rPr>
          <w:rFonts w:ascii="Times New Roman;serif" w:hAnsi="Times New Roman;serif"/>
          <w:b/>
          <w:color w:val="000000"/>
          <w:sz w:val="24"/>
        </w:rPr>
        <w:t>(i)</w:t>
      </w:r>
      <w:r>
        <w:rPr>
          <w:rFonts w:ascii="Times New Roman;serif" w:hAnsi="Times New Roman;serif"/>
          <w:b w:val="false"/>
          <w:color w:val="000000"/>
          <w:sz w:val="24"/>
          <w:u w:val="single"/>
        </w:rPr>
        <w:t>Awards</w:t>
      </w:r>
      <w:r>
        <w:rPr>
          <w:color w:val="000000"/>
          <w:u w:val="single"/>
        </w:rPr>
        <w:t xml:space="preserve"> </w:t>
      </w:r>
      <w:r>
        <w:rPr>
          <w:rFonts w:ascii="Times New Roman;serif" w:hAnsi="Times New Roman;serif"/>
          <w:b w:val="false"/>
          <w:color w:val="000000"/>
          <w:sz w:val="24"/>
          <w:u w:val="single"/>
        </w:rPr>
        <w:t>Granted</w:t>
      </w:r>
      <w:r>
        <w:rPr>
          <w:color w:val="000000"/>
          <w:u w:val="single"/>
        </w:rPr>
        <w:t xml:space="preserve"> </w:t>
      </w:r>
      <w:r>
        <w:rPr>
          <w:rFonts w:ascii="Times New Roman;serif" w:hAnsi="Times New Roman;serif"/>
          <w:b w:val="false"/>
          <w:color w:val="000000"/>
          <w:sz w:val="24"/>
          <w:u w:val="single"/>
        </w:rPr>
        <w:t>under</w:t>
      </w:r>
      <w:r>
        <w:rPr>
          <w:color w:val="000000"/>
          <w:u w:val="single"/>
        </w:rPr>
        <w:t xml:space="preserve"> </w:t>
      </w:r>
      <w:r>
        <w:rPr>
          <w:rFonts w:ascii="Times New Roman;serif" w:hAnsi="Times New Roman;serif"/>
          <w:b w:val="false"/>
          <w:color w:val="000000"/>
          <w:sz w:val="24"/>
          <w:u w:val="single"/>
        </w:rPr>
        <w:t>the</w:t>
      </w:r>
      <w:r>
        <w:rPr>
          <w:color w:val="000000"/>
          <w:u w:val="single"/>
        </w:rPr>
        <w:t xml:space="preserve"> </w:t>
      </w:r>
      <w:r>
        <w:rPr>
          <w:rFonts w:ascii="Times New Roman;serif" w:hAnsi="Times New Roman;serif"/>
          <w:b w:val="false"/>
          <w:color w:val="000000"/>
          <w:sz w:val="24"/>
          <w:u w:val="single"/>
        </w:rPr>
        <w:t>2017</w:t>
      </w:r>
      <w:r>
        <w:rPr>
          <w:color w:val="000000"/>
          <w:u w:val="single"/>
        </w:rPr>
        <w:t xml:space="preserve"> </w:t>
      </w:r>
      <w:r>
        <w:rPr>
          <w:rFonts w:ascii="Times New Roman;serif" w:hAnsi="Times New Roman;serif"/>
          <w:b w:val="false"/>
          <w:color w:val="000000"/>
          <w:sz w:val="24"/>
          <w:u w:val="single"/>
        </w:rPr>
        <w:t>Plan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Change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Control, the vesting (and exercisability, if applicable) of each Initial Option Grant, Initial RSU Grant, Annual Option Grant, Annual RSU Grant and any Other Equity Grant will be accelerated in full to a date prior to the effective time of such Change in Control (contingent upon the effectiveness of</w:t>
      </w:r>
      <w:r>
        <w:rPr>
          <w:color w:val="000000"/>
        </w:rPr>
        <w:t xml:space="preserve"> </w:t>
      </w:r>
      <w:r>
        <w:rPr>
          <w:rFonts w:ascii="Times New Roman;serif" w:hAnsi="Times New Roman;serif"/>
          <w:b w:val="false"/>
          <w:color w:val="000000"/>
          <w:sz w:val="24"/>
        </w:rPr>
        <w:t>such Change</w:t>
      </w:r>
      <w:r>
        <w:rPr>
          <w:color w:val="000000"/>
        </w:rPr>
        <w:t xml:space="preserve"> </w:t>
      </w:r>
      <w:r>
        <w:rPr>
          <w:rFonts w:ascii="Times New Roman;serif" w:hAnsi="Times New Roman;serif"/>
          <w:b w:val="false"/>
          <w:color w:val="000000"/>
          <w:sz w:val="24"/>
        </w:rPr>
        <w:t>in Control)</w:t>
      </w:r>
      <w:r>
        <w:rPr>
          <w:color w:val="000000"/>
        </w:rPr>
        <w:t xml:space="preserve"> </w:t>
      </w:r>
      <w:r>
        <w:rPr>
          <w:rFonts w:ascii="Times New Roman;serif" w:hAnsi="Times New Roman;serif"/>
          <w:b w:val="false"/>
          <w:color w:val="000000"/>
          <w:sz w:val="24"/>
        </w:rPr>
        <w:t>as the</w:t>
      </w:r>
      <w:r>
        <w:rPr>
          <w:color w:val="000000"/>
        </w:rPr>
        <w:t xml:space="preserve"> </w:t>
      </w:r>
      <w:r>
        <w:rPr>
          <w:rFonts w:ascii="Times New Roman;serif" w:hAnsi="Times New Roman;serif"/>
          <w:b w:val="false"/>
          <w:color w:val="000000"/>
          <w:sz w:val="24"/>
        </w:rPr>
        <w:t>Board will determine</w:t>
      </w:r>
      <w:r>
        <w:rPr>
          <w:color w:val="000000"/>
        </w:rPr>
        <w:t xml:space="preserve"> </w:t>
      </w:r>
      <w:r>
        <w:rPr>
          <w:rFonts w:ascii="Times New Roman;serif" w:hAnsi="Times New Roman;serif"/>
          <w:b w:val="false"/>
          <w:color w:val="000000"/>
          <w:sz w:val="24"/>
        </w:rPr>
        <w:t>(or, if</w:t>
      </w:r>
      <w:r>
        <w:rPr>
          <w:color w:val="000000"/>
        </w:rPr>
        <w:t xml:space="preserve"> </w:t>
      </w:r>
      <w:r>
        <w:rPr>
          <w:rFonts w:ascii="Times New Roman;serif" w:hAnsi="Times New Roman;serif"/>
          <w:b w:val="false"/>
          <w:color w:val="000000"/>
          <w:sz w:val="24"/>
        </w:rPr>
        <w:t>the Board does not determine</w:t>
      </w:r>
      <w:r>
        <w:rPr>
          <w:color w:val="000000"/>
        </w:rPr>
        <w:t xml:space="preserve"> </w:t>
      </w:r>
      <w:r>
        <w:rPr>
          <w:rFonts w:ascii="Times New Roman;serif" w:hAnsi="Times New Roman;serif"/>
          <w:b w:val="false"/>
          <w:color w:val="000000"/>
          <w:sz w:val="24"/>
        </w:rPr>
        <w:t>such a date, to the date that is five days prior to the effective time of such Change in Control).</w:t>
      </w:r>
      <w:r>
        <w:rPr>
          <w:color w:val="000000"/>
        </w:rPr>
        <w:t xml:space="preserve"> </w:t>
      </w:r>
      <w:r>
        <w:rPr>
          <w:rFonts w:ascii="Times New Roman;serif" w:hAnsi="Times New Roman;serif"/>
          <w:b w:val="false"/>
          <w:color w:val="000000"/>
          <w:sz w:val="24"/>
        </w:rPr>
        <w:t>For clarity, this Section (f)(i) will supersede Section 9(d)(i) of the 2017 Plan in its entirety.</w:t>
      </w:r>
    </w:p>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31.1</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OF PRINCIPAL EXECUTIVE OFFICER</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EXCHANGE ACT RULES 13a-14(a) and 15d-14(a),</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I, Michael M. Morrissey, Ph.D., certify that:</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1.    I have reviewed this Form 10-Q of Exelixis, Inc.;</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ind w:left="0" w:right="0" w:firstLine="720"/>
        <w:jc w:val="left"/>
        <w:rPr>
          <w:color w:val="000000"/>
        </w:rPr>
      </w:pPr>
      <w:r>
        <w:rPr>
          <w:color w:val="000000"/>
        </w:rPr>
        <w:t> </w:t>
      </w:r>
    </w:p>
    <w:tbl>
      <w:tblPr>
        <w:tblW w:w="3795" w:type="dxa"/>
        <w:jc w:val="right"/>
        <w:tblInd w:w="0" w:type="dxa"/>
        <w:tblLayout w:type="fixed"/>
        <w:tblCellMar>
          <w:top w:w="28" w:type="dxa"/>
          <w:left w:w="28" w:type="dxa"/>
          <w:bottom w:w="28" w:type="dxa"/>
          <w:right w:w="28" w:type="dxa"/>
        </w:tblCellMar>
      </w:tblPr>
      <w:tblGrid>
        <w:gridCol w:w="1212"/>
        <w:gridCol w:w="1066"/>
        <w:gridCol w:w="1517"/>
      </w:tblGrid>
      <w:tr>
        <w:trPr/>
        <w:tc>
          <w:tcPr>
            <w:tcW w:w="121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 Michael M. Morrissey</w:t>
            </w:r>
          </w:p>
        </w:tc>
      </w:tr>
      <w:tr>
        <w:trPr/>
        <w:tc>
          <w:tcPr>
            <w:tcW w:w="3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Michael M. Morrissey, Ph.D.</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and Chief Executive Officer</w:t>
              <w:br/>
              <w:t>(Principal Executive Officer)</w:t>
            </w:r>
          </w:p>
        </w:tc>
      </w:tr>
    </w:tbl>
    <w:p>
      <w:pPr>
        <w:pStyle w:val="TextBody"/>
        <w:bidi w:val="0"/>
        <w:spacing w:lineRule="auto" w:line="288" w:before="80" w:after="283"/>
        <w:jc w:val="left"/>
        <w:rPr>
          <w:rFonts w:ascii="sans-serif" w:hAnsi="sans-serif"/>
          <w:b w:val="false"/>
          <w:color w:val="000000"/>
          <w:sz w:val="20"/>
        </w:rPr>
      </w:pPr>
      <w:r>
        <w:rPr>
          <w:rFonts w:ascii="sans-serif" w:hAnsi="sans-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31.2</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 OF PRINCIPAL FINANCIAL OFFICER</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EXCHANGE ACT RULES 13a-14(a) and 15d-14(a),</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302 OF THE SARBANES-OXLEY ACT OF 2002</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I, Christopher J. Senner, certify that:</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1.    I have reviewed this Form 10-Q of Exelixis, Inc.;</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450"/>
        <w:jc w:val="left"/>
        <w:rPr>
          <w:rFonts w:ascii="sans-serif" w:hAnsi="sans-serif"/>
          <w:b w:val="false"/>
          <w:color w:val="000000"/>
          <w:sz w:val="20"/>
        </w:rPr>
      </w:pPr>
      <w:r>
        <w:rPr>
          <w:rFonts w:ascii="sans-serif" w:hAnsi="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630"/>
        <w:jc w:val="left"/>
        <w:rPr>
          <w:rFonts w:ascii="sans-serif" w:hAnsi="sans-serif"/>
          <w:b w:val="false"/>
          <w:color w:val="000000"/>
          <w:sz w:val="20"/>
        </w:rPr>
      </w:pPr>
      <w:r>
        <w:rPr>
          <w:rFonts w:ascii="sans-serif" w:hAnsi="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205" w:type="dxa"/>
        <w:jc w:val="right"/>
        <w:tblInd w:w="0" w:type="dxa"/>
        <w:tblLayout w:type="fixed"/>
        <w:tblCellMar>
          <w:top w:w="28" w:type="dxa"/>
          <w:left w:w="28" w:type="dxa"/>
          <w:bottom w:w="28" w:type="dxa"/>
          <w:right w:w="28" w:type="dxa"/>
        </w:tblCellMar>
      </w:tblPr>
      <w:tblGrid>
        <w:gridCol w:w="1664"/>
        <w:gridCol w:w="1461"/>
        <w:gridCol w:w="2080"/>
      </w:tblGrid>
      <w:tr>
        <w:trPr/>
        <w:tc>
          <w:tcPr>
            <w:tcW w:w="16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 Christopher J. Senner</w:t>
            </w:r>
          </w:p>
        </w:tc>
      </w:tr>
      <w:tr>
        <w:trPr/>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Christopher J. Senner</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Executive Vice President and Chief Financial Officer</w:t>
              <w:br/>
              <w:t>(Principal Financial Officer)</w:t>
            </w:r>
          </w:p>
        </w:tc>
      </w:tr>
    </w:tbl>
    <w:p>
      <w:pPr>
        <w:pStyle w:val="TextBody"/>
        <w:bidi w:val="0"/>
        <w:spacing w:lineRule="auto" w:line="288" w:before="80" w:after="283"/>
        <w:jc w:val="left"/>
        <w:rPr>
          <w:rFonts w:ascii="sans-serif" w:hAnsi="sans-serif"/>
          <w:b w:val="false"/>
          <w:color w:val="000000"/>
          <w:sz w:val="20"/>
        </w:rPr>
      </w:pPr>
      <w:r>
        <w:rPr>
          <w:rFonts w:ascii="sans-serif" w:hAnsi="sans-serif"/>
          <w:b w:val="false"/>
          <w:color w:val="000000"/>
          <w:sz w:val="20"/>
        </w:rPr>
        <w:t xml:space="preserve">Date: August 5,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32.1</w: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CERTIFICATIONS OF PRINCIPAL EXECUTIVE OFFICER AND PRINCIPAL FINANCIAL OFFICER</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18 U.S.C. SECTION 1350,</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AS ADOPTED PURSUANT TO</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SECTION 906 OF THE SARBANES-OXLEY ACT OF 2002</w:t>
      </w:r>
    </w:p>
    <w:p>
      <w:pPr>
        <w:pStyle w:val="TextBody"/>
        <w:bidi w:val="0"/>
        <w:spacing w:lineRule="auto" w:line="288" w:before="180" w:after="283"/>
        <w:ind w:left="0" w:right="0" w:firstLine="720"/>
        <w:jc w:val="left"/>
        <w:rPr>
          <w:rFonts w:ascii="sans-serif" w:hAnsi="sans-serif"/>
          <w:b w:val="false"/>
          <w:color w:val="000000"/>
          <w:sz w:val="20"/>
        </w:rPr>
      </w:pPr>
      <w:r>
        <w:rPr>
          <w:rFonts w:ascii="sans-serif" w:hAnsi="sans-serif"/>
          <w:b w:val="false"/>
          <w:color w:val="000000"/>
          <w:sz w:val="20"/>
        </w:rPr>
        <w:t>Pursuant to 18 U.S.C. Section 1350, as adopted pursuant to Section 906 of the Sarbanes-Oxley Act of 2002, Michael M. Morrissey, Ph.D., the President and Chief Executive Officer of Exelixis, Inc. (the “Company”), and Christopher J. Senner, the Executive Vice President and Chief Financial Officer of the Company, each hereby certifies that, to the best of his knowledge:</w:t>
      </w:r>
    </w:p>
    <w:p>
      <w:pPr>
        <w:pStyle w:val="TextBody"/>
        <w:bidi w:val="0"/>
        <w:spacing w:lineRule="auto" w:line="288" w:before="100" w:after="283"/>
        <w:ind w:left="0" w:right="0" w:hanging="270"/>
        <w:jc w:val="left"/>
        <w:rPr>
          <w:rFonts w:ascii="sans-serif" w:hAnsi="sans-serif"/>
          <w:b w:val="false"/>
          <w:color w:val="000000"/>
          <w:sz w:val="20"/>
        </w:rPr>
      </w:pPr>
      <w:r>
        <w:rPr>
          <w:rFonts w:ascii="sans-serif" w:hAnsi="sans-serif"/>
          <w:b w:val="false"/>
          <w:color w:val="000000"/>
          <w:sz w:val="20"/>
        </w:rPr>
        <w:t>1.The Company’s Quarterly Report on Form 10-Q for the period ended July 3, 2026, to which this Certification is attached as Exhibit 32.1 (the “Report”), fully complies with the requirements of Section 13(a) or Section 15(d) of the Securities Exchange Act of 1934, as amended; and</w:t>
      </w:r>
    </w:p>
    <w:p>
      <w:pPr>
        <w:pStyle w:val="TextBody"/>
        <w:bidi w:val="0"/>
        <w:spacing w:lineRule="auto" w:line="288" w:before="100" w:after="283"/>
        <w:ind w:left="0" w:right="0" w:hanging="270"/>
        <w:jc w:val="left"/>
        <w:rPr>
          <w:rFonts w:ascii="sans-serif" w:hAnsi="sans-serif"/>
          <w:b w:val="false"/>
          <w:color w:val="000000"/>
          <w:sz w:val="20"/>
        </w:rPr>
      </w:pPr>
      <w:r>
        <w:rPr>
          <w:rFonts w:ascii="sans-serif" w:hAnsi="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ind w:left="0" w:right="0" w:firstLine="720"/>
        <w:jc w:val="left"/>
        <w:rPr/>
      </w:pPr>
      <w:r>
        <w:rPr>
          <w:rFonts w:ascii="sans-serif" w:hAnsi="sans-serif"/>
          <w:b w:val="false"/>
          <w:color w:val="000000"/>
          <w:sz w:val="20"/>
        </w:rPr>
        <w:t>In Witness Whereof, the undersigned have set their hands hereto as of the 5th</w:t>
      </w:r>
      <w:r>
        <w:rPr>
          <w:color w:val="000000"/>
        </w:rPr>
        <w:t xml:space="preserve"> </w:t>
      </w:r>
      <w:r>
        <w:rPr>
          <w:rFonts w:ascii="sans-serif" w:hAnsi="sans-serif"/>
          <w:b w:val="false"/>
          <w:color w:val="000000"/>
          <w:sz w:val="20"/>
        </w:rPr>
        <w:t>day of August 2026.</w:t>
      </w:r>
    </w:p>
    <w:p>
      <w:pPr>
        <w:pStyle w:val="TextBody"/>
        <w:bidi w:val="0"/>
        <w:spacing w:lineRule="auto" w:line="288" w:before="0" w:after="0"/>
        <w:ind w:left="0" w:right="0" w:firstLine="720"/>
        <w:jc w:val="left"/>
        <w:rPr>
          <w:color w:val="000000"/>
        </w:rPr>
      </w:pPr>
      <w:r>
        <w:rPr>
          <w:color w:val="000000"/>
        </w:rPr>
        <w:t> </w:t>
      </w:r>
    </w:p>
    <w:tbl>
      <w:tblPr>
        <w:tblW w:w="9920" w:type="dxa"/>
        <w:jc w:val="left"/>
        <w:tblInd w:w="0" w:type="dxa"/>
        <w:tblLayout w:type="fixed"/>
        <w:tblCellMar>
          <w:top w:w="28" w:type="dxa"/>
          <w:left w:w="28" w:type="dxa"/>
          <w:bottom w:w="28" w:type="dxa"/>
          <w:right w:w="28" w:type="dxa"/>
        </w:tblCellMar>
      </w:tblPr>
      <w:tblGrid>
        <w:gridCol w:w="1358"/>
        <w:gridCol w:w="1192"/>
        <w:gridCol w:w="1199"/>
        <w:gridCol w:w="109"/>
        <w:gridCol w:w="109"/>
        <w:gridCol w:w="109"/>
        <w:gridCol w:w="109"/>
        <w:gridCol w:w="109"/>
        <w:gridCol w:w="109"/>
        <w:gridCol w:w="109"/>
        <w:gridCol w:w="109"/>
        <w:gridCol w:w="109"/>
        <w:gridCol w:w="1520"/>
        <w:gridCol w:w="1520"/>
        <w:gridCol w:w="2150"/>
      </w:tblGrid>
      <w:tr>
        <w:trPr/>
        <w:tc>
          <w:tcPr>
            <w:tcW w:w="135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 Michael M. Morrissey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 Christopher J. Senner</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Michael M. Morrissey,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Christopher J. Senner</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39767/000093976721000076/exel20210526ex31restatedce.htm" TargetMode="External"/><Relationship Id="rId4" Type="http://schemas.openxmlformats.org/officeDocument/2006/relationships/hyperlink" Target="https://www.sec.gov/Archives/edgar/data/939767/000093976724000058/exel20240331exhibit32.htm" TargetMode="External"/><Relationship Id="rId5" Type="http://schemas.openxmlformats.org/officeDocument/2006/relationships/hyperlink" Target="https://www.sec.gov/Archives/edgar/data/939767/000093976723000127/exhibit31amendedandrestate.htm" TargetMode="External"/><Relationship Id="rId6" Type="http://schemas.openxmlformats.org/officeDocument/2006/relationships/hyperlink" Target="https://www.sec.gov/Archives/edgar/data/939767/000093976726000074/exel-amendedrestated2017eq.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24199</Words>
  <Characters>136034</Characters>
  <CharactersWithSpaces>158550</CharactersWithSpaces>
  <Paragraphs>2731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