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419"/>
        <w:gridCol w:w="368"/>
        <w:gridCol w:w="369"/>
        <w:gridCol w:w="218"/>
        <w:gridCol w:w="218"/>
        <w:gridCol w:w="313"/>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32"/>
              </w:rPr>
            </w:pPr>
            <w:r>
              <w:rPr>
                <w:rFonts w:ascii="sans-serif" w:hAnsi="sans-serif"/>
                <w:b/>
                <w:color w:val="000000"/>
                <w:sz w:val="32"/>
              </w:rPr>
              <w:t>FORM</w:t>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32"/>
              </w:rPr>
            </w:pPr>
            <w:r>
              <w:rPr>
                <w:rFonts w:ascii="sans-serif" w:hAnsi="sans-serif"/>
                <w:b/>
                <w:color w:val="000000"/>
                <w:sz w:val="32"/>
              </w:rPr>
              <w:t>8-K</w:t>
            </w:r>
          </w:p>
        </w:tc>
      </w:tr>
    </w:tbl>
    <w:p>
      <w:pPr>
        <w:pStyle w:val="TextBody"/>
        <w:bidi w:val="0"/>
        <w:spacing w:before="0" w:after="0"/>
        <w:jc w:val="center"/>
        <w:rPr/>
      </w:pPr>
      <w:r>
        <w:rPr/>
      </w:r>
    </w:p>
    <w:p>
      <w:pPr>
        <w:pStyle w:val="TextBody"/>
        <w:bidi w:val="0"/>
        <w:spacing w:lineRule="auto" w:line="288" w:before="100" w:after="283"/>
        <w:jc w:val="center"/>
        <w:rPr>
          <w:rFonts w:ascii="sans-serif" w:hAnsi="sans-serif"/>
          <w:b/>
          <w:color w:val="000000"/>
          <w:sz w:val="20"/>
        </w:rPr>
      </w:pPr>
      <w:r>
        <w:rPr>
          <w:rFonts w:ascii="sans-serif" w:hAnsi="sans-serif"/>
          <w:b/>
          <w:color w:val="000000"/>
          <w:sz w:val="20"/>
        </w:rPr>
        <w:t xml:space="preserve">CURRENT REPORT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PURSUANT TO SECTION 13 OR 15(d) OF THE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SECURITIES EXCHANGE ACT OF 1934 </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Date of Report (Date of earliest event reported): August 31, 2026</w:t>
      </w:r>
    </w:p>
    <w:p>
      <w:pPr>
        <w:pStyle w:val="TextBody"/>
        <w:bidi w:val="0"/>
        <w:spacing w:before="0" w:after="0"/>
        <w:jc w:val="center"/>
        <w:rPr/>
      </w:pPr>
      <w:r>
        <w:rPr/>
      </w:r>
    </w:p>
    <w:tbl>
      <w:tblPr>
        <w:tblW w:w="4485" w:type="dxa"/>
        <w:jc w:val="center"/>
        <w:tblInd w:w="0" w:type="dxa"/>
        <w:tblLayout w:type="fixed"/>
        <w:tblCellMar>
          <w:top w:w="28" w:type="dxa"/>
          <w:left w:w="28" w:type="dxa"/>
          <w:bottom w:w="28" w:type="dxa"/>
          <w:right w:w="28" w:type="dxa"/>
        </w:tblCellMar>
      </w:tblPr>
      <w:tblGrid>
        <w:gridCol w:w="1436"/>
        <w:gridCol w:w="1262"/>
        <w:gridCol w:w="1787"/>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685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447675"/>
                          </a:xfrm>
                          <a:prstGeom prst="rect">
                            <a:avLst/>
                          </a:prstGeom>
                        </pic:spPr>
                      </pic:pic>
                    </a:graphicData>
                  </a:graphic>
                </wp:inline>
              </w:drawing>
            </w:r>
            <w:bookmarkStart w:id="0" w:name="i-1"/>
            <w:bookmarkEnd w:id="0"/>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sans-serif" w:hAnsi="sans-serif"/>
                <w:b/>
                <w:color w:val="000000"/>
                <w:sz w:val="32"/>
              </w:rPr>
            </w:pPr>
            <w:r>
              <w:rPr>
                <w:rFonts w:ascii="sans-serif" w:hAnsi="sans-serif"/>
                <w:b/>
                <w:color w:val="000000"/>
                <w:sz w:val="32"/>
              </w:rPr>
              <w:t>EXELIXIS, INC.</w:t>
            </w:r>
          </w:p>
        </w:tc>
      </w:tr>
      <w:tr>
        <w:trPr/>
        <w:tc>
          <w:tcPr>
            <w:tcW w:w="4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c>
      </w:tr>
    </w:tbl>
    <w:p>
      <w:pPr>
        <w:pStyle w:val="TextBody"/>
        <w:bidi w:val="0"/>
        <w:spacing w:before="0" w:after="0"/>
        <w:jc w:val="center"/>
        <w:rPr/>
      </w:pPr>
      <w:r>
        <w:rPr/>
      </w:r>
    </w:p>
    <w:tbl>
      <w:tblPr>
        <w:tblW w:w="8909" w:type="dxa"/>
        <w:jc w:val="center"/>
        <w:tblInd w:w="0" w:type="dxa"/>
        <w:tblLayout w:type="fixed"/>
        <w:tblCellMar>
          <w:top w:w="28" w:type="dxa"/>
          <w:left w:w="28" w:type="dxa"/>
          <w:bottom w:w="28" w:type="dxa"/>
          <w:right w:w="28" w:type="dxa"/>
        </w:tblCellMar>
      </w:tblPr>
      <w:tblGrid>
        <w:gridCol w:w="1363"/>
        <w:gridCol w:w="1196"/>
        <w:gridCol w:w="1205"/>
        <w:gridCol w:w="769"/>
        <w:gridCol w:w="769"/>
        <w:gridCol w:w="772"/>
        <w:gridCol w:w="831"/>
        <w:gridCol w:w="831"/>
        <w:gridCol w:w="1173"/>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color w:val="000000"/>
                <w:sz w:val="20"/>
              </w:rPr>
            </w:pPr>
            <w:r>
              <w:rPr>
                <w:rFonts w:ascii="sans-serif" w:hAnsi="sans-serif"/>
                <w:b/>
                <w:color w:val="000000"/>
                <w:sz w:val="20"/>
              </w:rPr>
              <w:t>Delaware</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color w:val="000000"/>
                <w:sz w:val="20"/>
              </w:rPr>
            </w:pPr>
            <w:r>
              <w:rPr>
                <w:rFonts w:ascii="sans-serif" w:hAnsi="sans-serif"/>
                <w:b/>
                <w:color w:val="000000"/>
                <w:sz w:val="20"/>
              </w:rPr>
              <w:t>000-30235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color w:val="000000"/>
                <w:sz w:val="20"/>
              </w:rPr>
            </w:pPr>
            <w:r>
              <w:rPr>
                <w:rFonts w:ascii="sans-serif" w:hAnsi="sans-serif"/>
                <w:b/>
                <w:color w:val="000000"/>
                <w:sz w:val="20"/>
              </w:rPr>
              <w:t>04-3257395</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16"/>
              </w:rPr>
            </w:pPr>
            <w:r>
              <w:rPr>
                <w:rFonts w:ascii="sans-serif" w:hAnsi="sans-serif"/>
                <w:b w:val="false"/>
                <w:color w:val="000000"/>
                <w:sz w:val="16"/>
              </w:rPr>
              <w:t>(State or Other Jurisdiction of Incorporation)</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16"/>
              </w:rPr>
            </w:pPr>
            <w:r>
              <w:rPr>
                <w:rFonts w:ascii="sans-serif" w:hAnsi="sans-serif"/>
                <w:b w:val="false"/>
                <w:color w:val="000000"/>
                <w:sz w:val="16"/>
              </w:rPr>
              <w:t>(Commission File Number)</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16"/>
              </w:rPr>
            </w:pPr>
            <w:r>
              <w:rPr>
                <w:rFonts w:ascii="sans-serif" w:hAnsi="sans-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1851 Harbor Bay Parkway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Alameda, California 94502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(650) 837-7000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 xml:space="preserve">(Registrant’s telephone number, including area code) </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Written communications pursuant to Rule 425 under the Securities Act (17 CFR 230.425)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Soliciting material pursuant to Rule 14a-12 under the Exchange Act (17 CFR 240.14a-12)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14d-2(b) under the Exchange Act (17 CFR 240.14d-2(b))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60" w:after="100"/>
        <w:jc w:val="center"/>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27"/>
        <w:gridCol w:w="1378"/>
        <w:gridCol w:w="1382"/>
        <w:gridCol w:w="586"/>
        <w:gridCol w:w="586"/>
        <w:gridCol w:w="588"/>
        <w:gridCol w:w="1187"/>
        <w:gridCol w:w="1187"/>
        <w:gridCol w:w="1684"/>
      </w:tblGrid>
      <w:tr>
        <w:trPr/>
        <w:tc>
          <w:tcPr>
            <w:tcW w:w="162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4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Title of each class</w:t>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Trading Symbol(s)</w:t>
            </w:r>
          </w:p>
        </w:tc>
        <w:tc>
          <w:tcPr>
            <w:tcW w:w="4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u w:val="single"/>
              </w:rPr>
            </w:pPr>
            <w:r>
              <w:rPr>
                <w:rFonts w:ascii="sans-serif" w:hAnsi="sans-serif"/>
                <w:b w:val="false"/>
                <w:color w:val="000000"/>
                <w:sz w:val="20"/>
                <w:u w:val="single"/>
              </w:rPr>
              <w:t>Name of each exchange on which registered</w:t>
            </w:r>
          </w:p>
        </w:tc>
      </w:tr>
      <w:tr>
        <w:trPr/>
        <w:tc>
          <w:tcPr>
            <w:tcW w:w="4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Common Stock $0.001 Par Value per Share</w:t>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EXEL</w:t>
            </w:r>
          </w:p>
        </w:tc>
        <w:tc>
          <w:tcPr>
            <w:tcW w:w="4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The Nasdaq Stock Market LLC</w:t>
            </w:r>
          </w:p>
        </w:tc>
      </w:tr>
    </w:tbl>
    <w:p>
      <w:pPr>
        <w:pStyle w:val="TextBody"/>
        <w:bidi w:val="0"/>
        <w:spacing w:lineRule="auto" w:line="288" w:before="120" w:after="283"/>
        <w:jc w:val="left"/>
        <w:rPr/>
      </w:pPr>
      <w:r>
        <w:rPr>
          <w:rFonts w:ascii="sans-serif" w:hAnsi="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180" w:after="283"/>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0"/>
        </w:rPr>
      </w:pPr>
      <w:r>
        <w:rPr>
          <w:rFonts w:ascii="sans-serif" w:hAnsi="sans-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On August 31, 2026, Exelixis, inc. (Exelixis) announced that the U.S. Court of Appeals for the Federal Circuit (Court of Appeals) issued a decision in </w:t>
      </w:r>
      <w:r>
        <w:rPr>
          <w:rFonts w:ascii="sans-serif" w:hAnsi="sans-serif"/>
          <w:b w:val="false"/>
          <w:i/>
          <w:color w:val="000000"/>
          <w:sz w:val="20"/>
        </w:rPr>
        <w:t>Exelixis, Inc. v. MSN Laboratories Private Limited et al.</w:t>
      </w:r>
      <w:r>
        <w:rPr>
          <w:rFonts w:ascii="sans-serif" w:hAnsi="sans-serif"/>
          <w:b w:val="false"/>
          <w:color w:val="000000"/>
          <w:sz w:val="20"/>
        </w:rPr>
        <w:t xml:space="preserve">, Appeal No. 25-1236, affirming the judgment of the U.S. District Court for the District of Delaware that U.S. Patent Nos. 11,091,439, 11,091,440 and 11,098,015 are not invalid. </w:t>
      </w:r>
    </w:p>
    <w:p>
      <w:pPr>
        <w:pStyle w:val="TextBody"/>
        <w:bidi w:val="0"/>
        <w:spacing w:before="0" w:after="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The Court of Appeals also dismissed as moot MSN’s appeal relating to the validity of U.S. Patent No. 11,298,349, which expires on February 10, 2032, and vacated the portion of the district court’s decision addressing that issue.</w:t>
      </w:r>
    </w:p>
    <w:p>
      <w:pPr>
        <w:pStyle w:val="TextBody"/>
        <w:bidi w:val="0"/>
        <w:spacing w:before="0" w:after="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Based on the Court of Appeals’ opinion, the effective date of any final approval by the U.S. Food and Drug Administration of MSN’s ANDA shall not be a date earlier than January 15, 2030, the expiration date of each of U.S. Patents No. 11,091,439, 11,091,440 and 11,098,015, subject to any further appellate proceedings, applicable regulatory exclusivity, and the outcome of separate litigation involving U.S. Patent No. 12,128,039, which expires in February 2032 and for which trial is currently scheduled to begin in November 2026.</w:t>
      </w:r>
    </w:p>
    <w:p>
      <w:pPr>
        <w:pStyle w:val="TextBody"/>
        <w:bidi w:val="0"/>
        <w:spacing w:before="0" w:after="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This Current Report on Form 8-K contains forward-looking statements, including, without limitation, statements related to the timing of any commercial launch by MSN of its proposed generic product in the U.S., the outcome of pending litigation, and applicable regulatory exclusivity. Forward-looking statements involve risks and uncertainties. Actual results and the timing of events could differ materially from those anticipated in the forward-looking statements as a result of these risks and uncertainties, including the factors described under the caption "Risk Factors" in Exelixis' most recent Annual Report on Form 10-K and subsequent Quarterly Reports on Form 10-Q, and in Exelixis' other filings with the Securities and Exchange Commission. Exelixis undertakes no obligation to update these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SIGNATURES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653" w:type="dxa"/>
        <w:jc w:val="right"/>
        <w:tblInd w:w="0" w:type="dxa"/>
        <w:tblLayout w:type="fixed"/>
        <w:tblCellMar>
          <w:top w:w="28" w:type="dxa"/>
          <w:left w:w="28" w:type="dxa"/>
          <w:bottom w:w="28" w:type="dxa"/>
          <w:right w:w="28" w:type="dxa"/>
        </w:tblCellMar>
      </w:tblPr>
      <w:tblGrid>
        <w:gridCol w:w="613"/>
        <w:gridCol w:w="539"/>
        <w:gridCol w:w="543"/>
        <w:gridCol w:w="109"/>
        <w:gridCol w:w="109"/>
        <w:gridCol w:w="109"/>
        <w:gridCol w:w="109"/>
        <w:gridCol w:w="109"/>
        <w:gridCol w:w="109"/>
        <w:gridCol w:w="1260"/>
        <w:gridCol w:w="1260"/>
        <w:gridCol w:w="178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E</w:t>
            </w:r>
            <w:r>
              <w:rPr>
                <w:rFonts w:ascii="sans-serif" w:hAnsi="sans-serif"/>
                <w:b w:val="false"/>
                <w:color w:val="000000"/>
                <w:sz w:val="16"/>
              </w:rPr>
              <w:t xml:space="preserve">XELIXIS, </w:t>
            </w:r>
            <w:r>
              <w:rPr>
                <w:rFonts w:ascii="sans-serif" w:hAnsi="sans-serif"/>
                <w:b w:val="false"/>
                <w:color w:val="000000"/>
                <w:sz w:val="20"/>
              </w:rPr>
              <w:t>I</w:t>
            </w:r>
            <w:r>
              <w:rPr>
                <w:rFonts w:ascii="sans-serif" w:hAnsi="sans-serif"/>
                <w:b w:val="false"/>
                <w:color w:val="000000"/>
                <w:sz w:val="16"/>
              </w:rPr>
              <w:t>NC.</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sans-serif" w:hAnsi="sans-serif"/>
                <w:b w:val="false"/>
                <w:color w:val="000000"/>
                <w:sz w:val="20"/>
              </w:rPr>
            </w:pPr>
            <w:r>
              <w:rPr>
                <w:rFonts w:ascii="sans-serif" w:hAnsi="sans-serif"/>
                <w:b w:val="false"/>
                <w:color w:val="000000"/>
                <w:sz w:val="20"/>
              </w:rPr>
              <w:t>/s/ Brenda J. Hefti</w:t>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Brenda J. Hefti</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Senior Vice President and General Counsel</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3621</Characters>
  <CharactersWithSpaces>4251</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